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D4D" w14:textId="7895E64F" w:rsidR="005F2C46" w:rsidRDefault="00D06CBA" w:rsidP="00736AFA">
      <w:pPr>
        <w:pStyle w:val="Title"/>
      </w:pPr>
      <w:r>
        <w:t xml:space="preserve">Calibration of </w:t>
      </w:r>
      <w:r w:rsidR="00226893">
        <w:t xml:space="preserve">A </w:t>
      </w:r>
      <w:r>
        <w:t>MEMS Anemometer</w:t>
      </w:r>
      <w:r w:rsidR="005F2C46">
        <w:t xml:space="preserve"> </w:t>
      </w:r>
      <w:r w:rsidR="00D13359">
        <w:br/>
      </w:r>
    </w:p>
    <w:p w14:paraId="5A8F3BF2" w14:textId="019BAD96" w:rsidR="00D13359" w:rsidRPr="00D13359" w:rsidRDefault="00736AFA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Liji Huang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>,</w:t>
      </w:r>
      <w:r w:rsidR="00226893">
        <w:rPr>
          <w:b/>
          <w:sz w:val="24"/>
        </w:rPr>
        <w:t xml:space="preserve"> </w:t>
      </w:r>
      <w:proofErr w:type="spellStart"/>
      <w:r w:rsidR="00226893">
        <w:rPr>
          <w:b/>
          <w:sz w:val="24"/>
        </w:rPr>
        <w:t>Yenan</w:t>
      </w:r>
      <w:proofErr w:type="spellEnd"/>
      <w:r w:rsidR="00226893">
        <w:rPr>
          <w:b/>
          <w:sz w:val="24"/>
        </w:rPr>
        <w:t xml:space="preserve"> Liu</w:t>
      </w:r>
      <w:r w:rsidR="00226893" w:rsidRPr="00226893">
        <w:rPr>
          <w:b/>
          <w:sz w:val="24"/>
          <w:vertAlign w:val="superscript"/>
        </w:rPr>
        <w:t>1</w:t>
      </w:r>
      <w:r w:rsidR="00226893">
        <w:rPr>
          <w:b/>
          <w:sz w:val="24"/>
        </w:rPr>
        <w:t xml:space="preserve">, </w:t>
      </w:r>
      <w:proofErr w:type="spellStart"/>
      <w:r w:rsidR="00226893">
        <w:rPr>
          <w:b/>
          <w:sz w:val="24"/>
        </w:rPr>
        <w:t>Changming</w:t>
      </w:r>
      <w:proofErr w:type="spellEnd"/>
      <w:r w:rsidR="00226893">
        <w:rPr>
          <w:b/>
          <w:sz w:val="24"/>
        </w:rPr>
        <w:t xml:space="preserve"> Jiang</w:t>
      </w:r>
      <w:r w:rsidR="00226893" w:rsidRPr="00226893">
        <w:rPr>
          <w:b/>
          <w:sz w:val="24"/>
          <w:vertAlign w:val="superscript"/>
        </w:rPr>
        <w:t>1</w:t>
      </w:r>
      <w:r w:rsidR="00226893">
        <w:rPr>
          <w:b/>
          <w:sz w:val="24"/>
        </w:rPr>
        <w:t>, Wenhong Deng</w:t>
      </w:r>
      <w:r w:rsidR="00226893" w:rsidRPr="00226893">
        <w:rPr>
          <w:b/>
          <w:sz w:val="24"/>
          <w:vertAlign w:val="superscript"/>
        </w:rPr>
        <w:t>1</w:t>
      </w:r>
      <w:r w:rsidR="00226893">
        <w:rPr>
          <w:b/>
          <w:sz w:val="24"/>
        </w:rPr>
        <w:t>,</w:t>
      </w:r>
      <w:r w:rsidR="00D13359" w:rsidRPr="00D13359">
        <w:rPr>
          <w:b/>
          <w:sz w:val="24"/>
        </w:rPr>
        <w:t xml:space="preserve"> </w:t>
      </w:r>
      <w:r w:rsidR="00226893">
        <w:rPr>
          <w:b/>
          <w:sz w:val="24"/>
        </w:rPr>
        <w:t>Li Lei</w:t>
      </w:r>
      <w:r w:rsidR="00D13359" w:rsidRPr="00D13359">
        <w:rPr>
          <w:b/>
          <w:sz w:val="24"/>
          <w:vertAlign w:val="superscript"/>
        </w:rPr>
        <w:t>2</w:t>
      </w:r>
      <w:r w:rsidR="00D13359" w:rsidRPr="00D13359">
        <w:rPr>
          <w:b/>
          <w:sz w:val="24"/>
        </w:rPr>
        <w:t xml:space="preserve">,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6B29980A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226893">
        <w:rPr>
          <w:i/>
          <w:sz w:val="20"/>
        </w:rPr>
        <w:t>Siargo Ltd., 2041 Mission College Boulevard, Suite 250</w:t>
      </w:r>
      <w:r w:rsidRPr="00D13359">
        <w:rPr>
          <w:i/>
          <w:sz w:val="20"/>
        </w:rPr>
        <w:t xml:space="preserve">, </w:t>
      </w:r>
      <w:r w:rsidR="00226893">
        <w:rPr>
          <w:i/>
          <w:sz w:val="20"/>
        </w:rPr>
        <w:t>Santa Clara</w:t>
      </w:r>
      <w:r w:rsidRPr="00D13359">
        <w:rPr>
          <w:i/>
          <w:sz w:val="20"/>
        </w:rPr>
        <w:t xml:space="preserve">, </w:t>
      </w:r>
      <w:r w:rsidR="00226893">
        <w:rPr>
          <w:i/>
          <w:sz w:val="20"/>
        </w:rPr>
        <w:t>California 95054 USA</w:t>
      </w:r>
    </w:p>
    <w:p w14:paraId="6A75D53F" w14:textId="21CAF948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226893">
        <w:rPr>
          <w:i/>
          <w:sz w:val="20"/>
        </w:rPr>
        <w:t>National Institute of Measurement and Testing Technology, Chengdu 610041, China</w:t>
      </w:r>
    </w:p>
    <w:p w14:paraId="470D4AAA" w14:textId="3C0A9696" w:rsidR="005F2C46" w:rsidRPr="00226893" w:rsidRDefault="00D13359" w:rsidP="00D13359">
      <w:pPr>
        <w:jc w:val="center"/>
        <w:rPr>
          <w:i/>
          <w:sz w:val="20"/>
          <w:lang w:val="fr-FR"/>
        </w:rPr>
      </w:pPr>
      <w:r w:rsidRPr="00226893">
        <w:rPr>
          <w:i/>
          <w:sz w:val="20"/>
          <w:lang w:val="fr-FR"/>
        </w:rPr>
        <w:t xml:space="preserve">E-mail: </w:t>
      </w:r>
      <w:r w:rsidR="00226893">
        <w:rPr>
          <w:i/>
          <w:sz w:val="20"/>
          <w:lang w:val="fr-FR"/>
        </w:rPr>
        <w:t>Liji</w:t>
      </w:r>
      <w:r w:rsidRPr="00226893">
        <w:rPr>
          <w:i/>
          <w:sz w:val="20"/>
          <w:lang w:val="fr-FR"/>
        </w:rPr>
        <w:t>@</w:t>
      </w:r>
      <w:r w:rsidR="00226893">
        <w:rPr>
          <w:i/>
          <w:sz w:val="20"/>
          <w:lang w:val="fr-FR"/>
        </w:rPr>
        <w:t>Siargo</w:t>
      </w:r>
      <w:r w:rsidRPr="00226893">
        <w:rPr>
          <w:i/>
          <w:sz w:val="20"/>
          <w:lang w:val="fr-FR"/>
        </w:rPr>
        <w:t>.com</w:t>
      </w:r>
    </w:p>
    <w:p w14:paraId="63F63D16" w14:textId="77777777" w:rsidR="005F2C46" w:rsidRDefault="000E1492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46C623F1" w14:textId="302E92A5" w:rsidR="005912E1" w:rsidRPr="00737D34" w:rsidRDefault="00A07826" w:rsidP="00737D34">
      <w:pPr>
        <w:jc w:val="both"/>
        <w:rPr>
          <w:szCs w:val="24"/>
        </w:rPr>
      </w:pPr>
      <w:r>
        <w:rPr>
          <w:szCs w:val="24"/>
        </w:rPr>
        <w:t>Accurate calibration of an anemometer would often be required in a wind tunnel which can provide the reproducible metrology environment</w:t>
      </w:r>
      <w:r w:rsidR="005644E0">
        <w:rPr>
          <w:szCs w:val="24"/>
        </w:rPr>
        <w:t xml:space="preserve"> for the desired air velocity</w:t>
      </w:r>
      <w:r>
        <w:rPr>
          <w:szCs w:val="24"/>
        </w:rPr>
        <w:t>.  However, such a calibration procedure is expensive and not suitable for mass production as the demands of the HVAC or building automation related IOT shall have to deploy a very large number of the anemometers.  In this paper, we discuss the com</w:t>
      </w:r>
      <w:r w:rsidR="004C3B0B">
        <w:rPr>
          <w:szCs w:val="24"/>
        </w:rPr>
        <w:t xml:space="preserve">parison of the calibration </w:t>
      </w:r>
      <w:r>
        <w:rPr>
          <w:szCs w:val="24"/>
        </w:rPr>
        <w:t xml:space="preserve">for MEMS anemometers in a commercial wind tunnel and a specially designed </w:t>
      </w:r>
      <w:r w:rsidR="00D02F92">
        <w:rPr>
          <w:szCs w:val="24"/>
        </w:rPr>
        <w:t>closed conduit</w:t>
      </w:r>
      <w:r w:rsidR="00BD02B4">
        <w:rPr>
          <w:szCs w:val="24"/>
        </w:rPr>
        <w:t xml:space="preserve"> with a diameter of one inch</w:t>
      </w:r>
      <w:r w:rsidR="00D02F92">
        <w:rPr>
          <w:szCs w:val="24"/>
        </w:rPr>
        <w:t xml:space="preserve">. </w:t>
      </w:r>
      <w:r w:rsidR="004C3B0B">
        <w:rPr>
          <w:szCs w:val="24"/>
        </w:rPr>
        <w:t xml:space="preserve">It is found that the MEMS anemometer packaged into a plate at the probe that is parallel to the air flow direction with a well-defined boundary layer can be accurately calibrated </w:t>
      </w:r>
      <w:r w:rsidR="00BD02B4">
        <w:rPr>
          <w:szCs w:val="24"/>
        </w:rPr>
        <w:t xml:space="preserve">to a full dynamic range over 100:1 </w:t>
      </w:r>
      <w:r w:rsidR="004C3B0B">
        <w:rPr>
          <w:szCs w:val="24"/>
        </w:rPr>
        <w:t xml:space="preserve">in the designed closed conduit with </w:t>
      </w:r>
      <w:r w:rsidR="00BD02B4">
        <w:rPr>
          <w:szCs w:val="24"/>
        </w:rPr>
        <w:t xml:space="preserve">only </w:t>
      </w:r>
      <w:r w:rsidR="004C3B0B">
        <w:rPr>
          <w:szCs w:val="24"/>
        </w:rPr>
        <w:t>a constant deviation to the values obtained in a commercial wind tunnel. T</w:t>
      </w:r>
      <w:r w:rsidR="005D7256">
        <w:rPr>
          <w:szCs w:val="24"/>
        </w:rPr>
        <w:t xml:space="preserve">his allows </w:t>
      </w:r>
      <w:r w:rsidR="004C3B0B">
        <w:rPr>
          <w:szCs w:val="24"/>
        </w:rPr>
        <w:t xml:space="preserve">mass production of the anemometers at a </w:t>
      </w:r>
      <w:r w:rsidR="005D7256">
        <w:rPr>
          <w:szCs w:val="24"/>
        </w:rPr>
        <w:t xml:space="preserve">very low cost </w:t>
      </w:r>
      <w:r w:rsidR="00BD02B4">
        <w:rPr>
          <w:szCs w:val="24"/>
        </w:rPr>
        <w:t>which</w:t>
      </w:r>
      <w:r w:rsidR="005D7256">
        <w:rPr>
          <w:szCs w:val="24"/>
        </w:rPr>
        <w:t xml:space="preserve"> enables the current application demands.</w:t>
      </w:r>
      <w:r w:rsidR="004C3B0B">
        <w:rPr>
          <w:szCs w:val="24"/>
        </w:rPr>
        <w:t xml:space="preserve"> This paper will discuss the design principle, the test data, and the theoretical understandings.    </w:t>
      </w:r>
    </w:p>
    <w:p w14:paraId="34DE7C2F" w14:textId="7A9D7F67" w:rsidR="00EA6110" w:rsidRDefault="000E1492" w:rsidP="00737D34">
      <w:pPr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BodyText"/>
      </w:pPr>
      <w:bookmarkStart w:id="0" w:name="_GoBack"/>
      <w:bookmarkEnd w:id="0"/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388B" w14:textId="77777777" w:rsidR="000E1492" w:rsidRDefault="000E1492" w:rsidP="00B370F7">
      <w:r>
        <w:separator/>
      </w:r>
    </w:p>
  </w:endnote>
  <w:endnote w:type="continuationSeparator" w:id="0">
    <w:p w14:paraId="1387972A" w14:textId="77777777" w:rsidR="000E1492" w:rsidRDefault="000E1492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BD02B4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2F1D" w14:textId="77777777" w:rsidR="000E1492" w:rsidRDefault="000E1492" w:rsidP="00B370F7">
      <w:r>
        <w:separator/>
      </w:r>
    </w:p>
  </w:footnote>
  <w:footnote w:type="continuationSeparator" w:id="0">
    <w:p w14:paraId="6A622FD1" w14:textId="77777777" w:rsidR="000E1492" w:rsidRDefault="000E1492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E1492"/>
    <w:rsid w:val="00226893"/>
    <w:rsid w:val="00250D41"/>
    <w:rsid w:val="002A73B9"/>
    <w:rsid w:val="003C0BF7"/>
    <w:rsid w:val="003D6491"/>
    <w:rsid w:val="00481C7F"/>
    <w:rsid w:val="004C3B0B"/>
    <w:rsid w:val="005644E0"/>
    <w:rsid w:val="005912E1"/>
    <w:rsid w:val="00595AB8"/>
    <w:rsid w:val="005B3B20"/>
    <w:rsid w:val="005C07BE"/>
    <w:rsid w:val="005D7256"/>
    <w:rsid w:val="005F2C46"/>
    <w:rsid w:val="006248F6"/>
    <w:rsid w:val="00641DAC"/>
    <w:rsid w:val="00657F17"/>
    <w:rsid w:val="006F12BB"/>
    <w:rsid w:val="00736AFA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A0063B"/>
    <w:rsid w:val="00A07826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D02B4"/>
    <w:rsid w:val="00BE2A1A"/>
    <w:rsid w:val="00D0073E"/>
    <w:rsid w:val="00D02F92"/>
    <w:rsid w:val="00D06CBA"/>
    <w:rsid w:val="00D13359"/>
    <w:rsid w:val="00EA6110"/>
    <w:rsid w:val="00EB1AB8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331E-0C22-4BB2-94C2-686B0AA1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Liji Huang</cp:lastModifiedBy>
  <cp:revision>10</cp:revision>
  <cp:lastPrinted>2015-08-31T03:45:00Z</cp:lastPrinted>
  <dcterms:created xsi:type="dcterms:W3CDTF">2016-02-15T06:39:00Z</dcterms:created>
  <dcterms:modified xsi:type="dcterms:W3CDTF">2016-02-19T06:24:00Z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