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46" w:rsidRDefault="00867732">
      <w:pPr>
        <w:pStyle w:val="Title"/>
      </w:pPr>
      <w:r>
        <w:t xml:space="preserve">Bilateral Comparison of Primary Water Flow Standards </w:t>
      </w:r>
      <w:r w:rsidR="008253A7">
        <w:t>between</w:t>
      </w:r>
      <w:r>
        <w:t xml:space="preserve"> LNE-CETIAT and Metrology LIPI </w:t>
      </w:r>
    </w:p>
    <w:p w:rsidR="005F2C46" w:rsidRDefault="005F2C46"/>
    <w:p w:rsidR="00D13359" w:rsidRPr="00D13359" w:rsidRDefault="000A04C0" w:rsidP="00D13359">
      <w:pPr>
        <w:pStyle w:val="BodyText"/>
        <w:jc w:val="center"/>
        <w:rPr>
          <w:b/>
          <w:sz w:val="24"/>
        </w:rPr>
      </w:pPr>
      <w:r>
        <w:rPr>
          <w:b/>
          <w:sz w:val="24"/>
        </w:rPr>
        <w:t>Bernadus H.Sirenden</w:t>
      </w:r>
      <w:r w:rsidR="00D13359" w:rsidRPr="00D13359">
        <w:rPr>
          <w:b/>
          <w:sz w:val="24"/>
          <w:vertAlign w:val="superscript"/>
        </w:rPr>
        <w:t>1</w:t>
      </w:r>
      <w:r w:rsidR="00D13359" w:rsidRPr="00D13359">
        <w:rPr>
          <w:b/>
          <w:sz w:val="24"/>
        </w:rPr>
        <w:t xml:space="preserve">, </w:t>
      </w:r>
      <w:r>
        <w:rPr>
          <w:b/>
          <w:sz w:val="24"/>
        </w:rPr>
        <w:t>Isabelle Care</w:t>
      </w:r>
      <w:r w:rsidR="00D13359" w:rsidRPr="00D13359">
        <w:rPr>
          <w:b/>
          <w:sz w:val="24"/>
          <w:vertAlign w:val="superscript"/>
        </w:rPr>
        <w:t>2</w:t>
      </w:r>
      <w:r w:rsidR="00D13359" w:rsidRPr="00D13359">
        <w:rPr>
          <w:b/>
          <w:sz w:val="24"/>
        </w:rPr>
        <w:t xml:space="preserve">, </w:t>
      </w:r>
    </w:p>
    <w:p w:rsidR="005F2C46" w:rsidRPr="0026705D" w:rsidRDefault="000A04C0" w:rsidP="00D13359">
      <w:pPr>
        <w:pStyle w:val="BodyText"/>
        <w:jc w:val="center"/>
        <w:rPr>
          <w:b/>
          <w:sz w:val="24"/>
          <w:vertAlign w:val="superscript"/>
          <w:lang w:val="fr-FR"/>
        </w:rPr>
      </w:pPr>
      <w:r w:rsidRPr="0026705D">
        <w:rPr>
          <w:b/>
          <w:sz w:val="24"/>
          <w:lang w:val="fr-FR"/>
        </w:rPr>
        <w:t>Jalu A. Prakoso</w:t>
      </w:r>
      <w:r w:rsidRPr="0026705D">
        <w:rPr>
          <w:b/>
          <w:sz w:val="24"/>
          <w:vertAlign w:val="superscript"/>
          <w:lang w:val="fr-FR"/>
        </w:rPr>
        <w:t>1</w:t>
      </w:r>
      <w:r w:rsidRPr="0026705D">
        <w:rPr>
          <w:b/>
          <w:sz w:val="24"/>
          <w:lang w:val="fr-FR"/>
        </w:rPr>
        <w:t>, N. Eka Darmayanti</w:t>
      </w:r>
      <w:r w:rsidRPr="0026705D">
        <w:rPr>
          <w:b/>
          <w:sz w:val="24"/>
          <w:vertAlign w:val="superscript"/>
          <w:lang w:val="fr-FR"/>
        </w:rPr>
        <w:t>1</w:t>
      </w:r>
    </w:p>
    <w:p w:rsidR="005F2C46" w:rsidRPr="0026705D" w:rsidRDefault="005F2C46">
      <w:pPr>
        <w:jc w:val="center"/>
        <w:rPr>
          <w:i/>
          <w:sz w:val="22"/>
          <w:lang w:val="fr-FR"/>
        </w:rPr>
      </w:pPr>
    </w:p>
    <w:p w:rsidR="00D13359" w:rsidRPr="00D13359" w:rsidRDefault="00D13359" w:rsidP="00D13359">
      <w:pPr>
        <w:jc w:val="center"/>
        <w:rPr>
          <w:i/>
          <w:sz w:val="20"/>
        </w:rPr>
      </w:pPr>
      <w:r w:rsidRPr="00D13359">
        <w:rPr>
          <w:i/>
          <w:sz w:val="20"/>
          <w:vertAlign w:val="superscript"/>
        </w:rPr>
        <w:t>1</w:t>
      </w:r>
      <w:r w:rsidR="000A04C0">
        <w:rPr>
          <w:i/>
          <w:sz w:val="20"/>
        </w:rPr>
        <w:t>Research Centre for Metrology LIPI</w:t>
      </w:r>
      <w:r w:rsidRPr="00D13359">
        <w:rPr>
          <w:i/>
          <w:sz w:val="20"/>
        </w:rPr>
        <w:t xml:space="preserve">, </w:t>
      </w:r>
      <w:r w:rsidR="000A04C0">
        <w:rPr>
          <w:i/>
          <w:sz w:val="20"/>
        </w:rPr>
        <w:t>Gd. 420 Puspiptek, Tangerang Selatan</w:t>
      </w:r>
      <w:r w:rsidRPr="00D13359">
        <w:rPr>
          <w:i/>
          <w:sz w:val="20"/>
        </w:rPr>
        <w:t xml:space="preserve">, </w:t>
      </w:r>
      <w:r w:rsidR="000A04C0">
        <w:rPr>
          <w:i/>
          <w:sz w:val="20"/>
        </w:rPr>
        <w:t>Indonesia</w:t>
      </w:r>
    </w:p>
    <w:p w:rsidR="00D13359" w:rsidRPr="0026705D" w:rsidRDefault="00D13359" w:rsidP="00D13359">
      <w:pPr>
        <w:jc w:val="center"/>
        <w:rPr>
          <w:i/>
          <w:sz w:val="20"/>
          <w:lang w:val="fr-FR"/>
        </w:rPr>
      </w:pPr>
      <w:r w:rsidRPr="0026705D">
        <w:rPr>
          <w:i/>
          <w:sz w:val="20"/>
          <w:vertAlign w:val="superscript"/>
          <w:lang w:val="fr-FR"/>
        </w:rPr>
        <w:t>2</w:t>
      </w:r>
      <w:r w:rsidR="000A04C0" w:rsidRPr="0026705D">
        <w:rPr>
          <w:i/>
          <w:sz w:val="20"/>
          <w:lang w:val="fr-FR"/>
        </w:rPr>
        <w:t>LNE-CETIAT</w:t>
      </w:r>
      <w:r w:rsidRPr="0026705D">
        <w:rPr>
          <w:i/>
          <w:sz w:val="20"/>
          <w:lang w:val="fr-FR"/>
        </w:rPr>
        <w:t xml:space="preserve">, </w:t>
      </w:r>
      <w:r w:rsidR="000A04C0" w:rsidRPr="0026705D">
        <w:rPr>
          <w:i/>
          <w:sz w:val="20"/>
          <w:lang w:val="fr-FR"/>
        </w:rPr>
        <w:t>Villeurbanne, France</w:t>
      </w:r>
    </w:p>
    <w:p w:rsidR="005F2C46" w:rsidRPr="0026705D" w:rsidRDefault="00D13359" w:rsidP="00D13359">
      <w:pPr>
        <w:jc w:val="center"/>
        <w:rPr>
          <w:i/>
          <w:sz w:val="20"/>
          <w:lang w:val="fr-FR"/>
        </w:rPr>
      </w:pPr>
      <w:r w:rsidRPr="0026705D">
        <w:rPr>
          <w:i/>
          <w:sz w:val="20"/>
          <w:lang w:val="fr-FR"/>
        </w:rPr>
        <w:t>E-mail</w:t>
      </w:r>
      <w:r w:rsidR="000A04C0" w:rsidRPr="0026705D">
        <w:rPr>
          <w:i/>
          <w:sz w:val="20"/>
          <w:lang w:val="fr-FR"/>
        </w:rPr>
        <w:t xml:space="preserve"> (corresponding</w:t>
      </w:r>
      <w:r w:rsidR="001608F7">
        <w:rPr>
          <w:i/>
          <w:sz w:val="20"/>
          <w:lang w:val="fr-FR"/>
        </w:rPr>
        <w:t xml:space="preserve"> </w:t>
      </w:r>
      <w:r w:rsidR="000A04C0" w:rsidRPr="0026705D">
        <w:rPr>
          <w:i/>
          <w:sz w:val="20"/>
          <w:lang w:val="fr-FR"/>
        </w:rPr>
        <w:t>author): ben</w:t>
      </w:r>
      <w:r w:rsidRPr="0026705D">
        <w:rPr>
          <w:i/>
          <w:sz w:val="20"/>
          <w:lang w:val="fr-FR"/>
        </w:rPr>
        <w:t>@</w:t>
      </w:r>
      <w:r w:rsidR="000A04C0" w:rsidRPr="0026705D">
        <w:rPr>
          <w:i/>
          <w:sz w:val="20"/>
          <w:lang w:val="fr-FR"/>
        </w:rPr>
        <w:t>kim.lipi.go.id</w:t>
      </w:r>
    </w:p>
    <w:p w:rsidR="005F2C46" w:rsidRDefault="001F2DFF">
      <w:r>
        <w:pict>
          <v:rect id="_x0000_i1025" style="width:0;height:1.5pt" o:hralign="center" o:hrstd="t" o:hr="t" fillcolor="gray" stroked="f"/>
        </w:pict>
      </w:r>
    </w:p>
    <w:p w:rsidR="00AB51F5" w:rsidRPr="00AB51F5" w:rsidRDefault="00AB51F5" w:rsidP="00AB51F5"/>
    <w:p w:rsidR="0026705D" w:rsidRDefault="0026705D" w:rsidP="0026705D">
      <w:pPr>
        <w:jc w:val="both"/>
        <w:rPr>
          <w:szCs w:val="24"/>
        </w:rPr>
      </w:pPr>
      <w:r w:rsidRPr="0026705D">
        <w:rPr>
          <w:szCs w:val="24"/>
        </w:rPr>
        <w:t>The overall objective of the EU-Indonesian Trade Support Programme II (TSP2) is to facilitate the further integration of Indonesia into the international trading system by upgrading the Export Quality Infrastructure (EQI) that supports its access to international markets.</w:t>
      </w:r>
    </w:p>
    <w:p w:rsidR="0026705D" w:rsidRDefault="0026705D" w:rsidP="0026705D">
      <w:pPr>
        <w:jc w:val="both"/>
        <w:rPr>
          <w:szCs w:val="24"/>
        </w:rPr>
      </w:pPr>
      <w:r>
        <w:rPr>
          <w:szCs w:val="24"/>
        </w:rPr>
        <w:t xml:space="preserve">As part of this programme, and to </w:t>
      </w:r>
      <w:r w:rsidRPr="0026705D">
        <w:rPr>
          <w:szCs w:val="24"/>
        </w:rPr>
        <w:t>extend the list of recognised CMCs for Indonesia, Metrologi-LIPI has to enhance its measurement capabilities and declare them to APMP for peer review</w:t>
      </w:r>
      <w:r>
        <w:rPr>
          <w:szCs w:val="24"/>
        </w:rPr>
        <w:t>. Before that, the competence for the considered scope has to be underpinned by registered comparisons.</w:t>
      </w:r>
    </w:p>
    <w:p w:rsidR="0026705D" w:rsidRDefault="0026705D" w:rsidP="0026705D">
      <w:pPr>
        <w:jc w:val="both"/>
        <w:rPr>
          <w:szCs w:val="24"/>
        </w:rPr>
      </w:pPr>
      <w:r>
        <w:rPr>
          <w:szCs w:val="24"/>
        </w:rPr>
        <w:t>It is in this context that LNE-CETIAT (French Designated Institute for Liquid (water) flow) and Metrology-LIPI (</w:t>
      </w:r>
      <w:r w:rsidRPr="0026705D">
        <w:rPr>
          <w:szCs w:val="24"/>
        </w:rPr>
        <w:t>Indonesian National Metrology Institute)</w:t>
      </w:r>
      <w:r>
        <w:rPr>
          <w:szCs w:val="24"/>
        </w:rPr>
        <w:t xml:space="preserve"> performed a bilateral comparison in the field of water flow measurement, registered as project 1361 by EURAMET.</w:t>
      </w:r>
    </w:p>
    <w:p w:rsidR="0026705D" w:rsidRDefault="0026705D" w:rsidP="0026705D">
      <w:pPr>
        <w:jc w:val="both"/>
        <w:rPr>
          <w:szCs w:val="24"/>
        </w:rPr>
      </w:pPr>
      <w:r>
        <w:rPr>
          <w:szCs w:val="24"/>
        </w:rPr>
        <w:t>After a presentation of the two facilities of the two participant laboratories, the protocol of the comparison is described. Two turbines are used to cover the flow range from 7.5 up to 570 dm</w:t>
      </w:r>
      <w:r w:rsidRPr="0026705D">
        <w:rPr>
          <w:szCs w:val="24"/>
          <w:vertAlign w:val="superscript"/>
        </w:rPr>
        <w:t>3</w:t>
      </w:r>
      <w:r>
        <w:rPr>
          <w:szCs w:val="24"/>
        </w:rPr>
        <w:t>/min.</w:t>
      </w:r>
    </w:p>
    <w:p w:rsidR="0026705D" w:rsidRDefault="0026705D" w:rsidP="0026705D">
      <w:pPr>
        <w:jc w:val="both"/>
        <w:rPr>
          <w:szCs w:val="24"/>
        </w:rPr>
      </w:pPr>
      <w:r>
        <w:rPr>
          <w:szCs w:val="24"/>
        </w:rPr>
        <w:t>The tests, performed on the LNE-CETIAT facility using a gravimetric reference method and Metrologi-LIPI facility using a volumetric reference method through a piston prover, show primarily some discrepancies with a calculated normalized error greater than 1.</w:t>
      </w:r>
    </w:p>
    <w:p w:rsidR="0026705D" w:rsidRDefault="0026705D" w:rsidP="0026705D">
      <w:pPr>
        <w:jc w:val="both"/>
        <w:rPr>
          <w:szCs w:val="24"/>
        </w:rPr>
      </w:pPr>
      <w:r>
        <w:rPr>
          <w:szCs w:val="24"/>
        </w:rPr>
        <w:t>An analysis of the results allows</w:t>
      </w:r>
      <w:bookmarkStart w:id="0" w:name="_GoBack"/>
      <w:bookmarkEnd w:id="0"/>
      <w:r>
        <w:rPr>
          <w:szCs w:val="24"/>
        </w:rPr>
        <w:t>Metrologi-LIPI to improve its facility. After the applied correction, the normalized error becomes lower than 1.</w:t>
      </w:r>
    </w:p>
    <w:p w:rsidR="0026705D" w:rsidRDefault="0026705D" w:rsidP="0026705D">
      <w:pPr>
        <w:jc w:val="both"/>
        <w:rPr>
          <w:szCs w:val="24"/>
        </w:rPr>
      </w:pPr>
      <w:r>
        <w:rPr>
          <w:szCs w:val="24"/>
        </w:rPr>
        <w:t>With the enhancement of the measurement capabilities of Metrologi-LIPI in the field of water flow, the objectives of the Support programme are fulfilled and Metrologi-LIPI will be able to propose new CMC entries for Indonesia in a near future.</w:t>
      </w:r>
    </w:p>
    <w:p w:rsidR="0026705D" w:rsidRDefault="0026705D" w:rsidP="0026705D">
      <w:pPr>
        <w:jc w:val="both"/>
        <w:rPr>
          <w:szCs w:val="24"/>
        </w:rPr>
      </w:pPr>
    </w:p>
    <w:p w:rsidR="00EA6110" w:rsidRDefault="001F2DFF" w:rsidP="00737D34">
      <w:pPr>
        <w:sectPr w:rsidR="00EA6110" w:rsidSect="00A86C33">
          <w:footerReference w:type="default" r:id="rId8"/>
          <w:pgSz w:w="11906" w:h="16838"/>
          <w:pgMar w:top="1440" w:right="1077" w:bottom="1440" w:left="1077" w:header="720" w:footer="720" w:gutter="0"/>
          <w:cols w:space="720"/>
        </w:sectPr>
      </w:pPr>
      <w:r>
        <w:pict>
          <v:rect id="_x0000_i1026" style="width:0;height:1.5pt" o:hralign="center" o:hrstd="t" o:hr="t" fillcolor="gray" stroked="f"/>
        </w:pict>
      </w:r>
    </w:p>
    <w:p w:rsidR="00B21BA8" w:rsidRDefault="00B21BA8" w:rsidP="00737D34">
      <w:pPr>
        <w:pStyle w:val="BodyText"/>
        <w:tabs>
          <w:tab w:val="center" w:pos="2268"/>
          <w:tab w:val="right" w:pos="4536"/>
        </w:tabs>
      </w:pPr>
    </w:p>
    <w:p w:rsidR="005F2C46" w:rsidRDefault="005F2C46">
      <w:pPr>
        <w:pStyle w:val="BodyText"/>
      </w:pPr>
    </w:p>
    <w:sectPr w:rsidR="005F2C46" w:rsidSect="00A86C33">
      <w:footerReference w:type="default" r:id="rId9"/>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81" w:rsidRDefault="00B95081" w:rsidP="00B370F7">
      <w:r>
        <w:separator/>
      </w:r>
    </w:p>
  </w:endnote>
  <w:endnote w:type="continuationSeparator" w:id="1">
    <w:p w:rsidR="00B95081" w:rsidRDefault="00B95081"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September26</w:t>
    </w:r>
    <w:r w:rsidR="00B370F7">
      <w:rPr>
        <w:sz w:val="20"/>
      </w:rPr>
      <w:t>-</w:t>
    </w:r>
    <w:r>
      <w:rPr>
        <w:sz w:val="20"/>
      </w:rPr>
      <w:t>29</w:t>
    </w:r>
    <w:r w:rsidR="00B370F7">
      <w:rPr>
        <w:sz w:val="20"/>
      </w:rPr>
      <w:t>, 201</w:t>
    </w:r>
    <w:r>
      <w:rPr>
        <w:sz w:val="20"/>
      </w:rPr>
      <w:t>6</w:t>
    </w:r>
    <w:r w:rsidR="00B370F7">
      <w:rPr>
        <w:sz w:val="20"/>
      </w:rPr>
      <w:tab/>
    </w:r>
    <w:r w:rsidR="003C0BF7">
      <w:rPr>
        <w:sz w:val="20"/>
      </w:rPr>
      <w:t>Page</w:t>
    </w:r>
    <w:r w:rsidR="001F2DFF" w:rsidRPr="00B370F7">
      <w:rPr>
        <w:sz w:val="20"/>
      </w:rPr>
      <w:fldChar w:fldCharType="begin"/>
    </w:r>
    <w:r w:rsidR="00B370F7" w:rsidRPr="00B370F7">
      <w:rPr>
        <w:sz w:val="20"/>
      </w:rPr>
      <w:instrText xml:space="preserve"> PAGE   \* MERGEFORMAT </w:instrText>
    </w:r>
    <w:r w:rsidR="001F2DFF" w:rsidRPr="00B370F7">
      <w:rPr>
        <w:sz w:val="20"/>
      </w:rPr>
      <w:fldChar w:fldCharType="separate"/>
    </w:r>
    <w:r w:rsidR="001608F7">
      <w:rPr>
        <w:noProof/>
        <w:sz w:val="20"/>
      </w:rPr>
      <w:t>1</w:t>
    </w:r>
    <w:r w:rsidR="001F2DFF"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1F2DFF" w:rsidRPr="00B370F7">
      <w:rPr>
        <w:sz w:val="20"/>
      </w:rPr>
      <w:fldChar w:fldCharType="begin"/>
    </w:r>
    <w:r w:rsidR="00250D41" w:rsidRPr="00B370F7">
      <w:rPr>
        <w:sz w:val="20"/>
      </w:rPr>
      <w:instrText xml:space="preserve"> PAGE   \* MERGEFORMAT </w:instrText>
    </w:r>
    <w:r w:rsidR="001F2DFF" w:rsidRPr="00B370F7">
      <w:rPr>
        <w:sz w:val="20"/>
      </w:rPr>
      <w:fldChar w:fldCharType="separate"/>
    </w:r>
    <w:r w:rsidR="00737D34">
      <w:rPr>
        <w:noProof/>
        <w:sz w:val="20"/>
      </w:rPr>
      <w:t>2</w:t>
    </w:r>
    <w:r w:rsidR="001F2DFF"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81" w:rsidRDefault="00B95081" w:rsidP="00B370F7">
      <w:r>
        <w:separator/>
      </w:r>
    </w:p>
  </w:footnote>
  <w:footnote w:type="continuationSeparator" w:id="1">
    <w:p w:rsidR="00B95081" w:rsidRDefault="00B95081"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5F2C46"/>
    <w:rsid w:val="000051E1"/>
    <w:rsid w:val="000A04C0"/>
    <w:rsid w:val="000E28F3"/>
    <w:rsid w:val="001608F7"/>
    <w:rsid w:val="001F2DFF"/>
    <w:rsid w:val="00250D41"/>
    <w:rsid w:val="0026705D"/>
    <w:rsid w:val="002A73B9"/>
    <w:rsid w:val="003528D0"/>
    <w:rsid w:val="003C0BF7"/>
    <w:rsid w:val="003D6491"/>
    <w:rsid w:val="00481C7F"/>
    <w:rsid w:val="005325A2"/>
    <w:rsid w:val="005912E1"/>
    <w:rsid w:val="005A4521"/>
    <w:rsid w:val="005B3B20"/>
    <w:rsid w:val="005C07BE"/>
    <w:rsid w:val="005F2C46"/>
    <w:rsid w:val="006248F6"/>
    <w:rsid w:val="00641DAC"/>
    <w:rsid w:val="006536F9"/>
    <w:rsid w:val="00657F17"/>
    <w:rsid w:val="006F12BB"/>
    <w:rsid w:val="00737D34"/>
    <w:rsid w:val="007D499A"/>
    <w:rsid w:val="007F73B3"/>
    <w:rsid w:val="00807BEF"/>
    <w:rsid w:val="00815774"/>
    <w:rsid w:val="008253A7"/>
    <w:rsid w:val="00825F28"/>
    <w:rsid w:val="008357DD"/>
    <w:rsid w:val="00867732"/>
    <w:rsid w:val="008B29EC"/>
    <w:rsid w:val="008B4239"/>
    <w:rsid w:val="008E231C"/>
    <w:rsid w:val="00905079"/>
    <w:rsid w:val="00953AF4"/>
    <w:rsid w:val="009F3E75"/>
    <w:rsid w:val="00A0063B"/>
    <w:rsid w:val="00A12E51"/>
    <w:rsid w:val="00A217DA"/>
    <w:rsid w:val="00A45D7A"/>
    <w:rsid w:val="00A86C33"/>
    <w:rsid w:val="00AB51F5"/>
    <w:rsid w:val="00AF5702"/>
    <w:rsid w:val="00B21BA8"/>
    <w:rsid w:val="00B33C9D"/>
    <w:rsid w:val="00B370F7"/>
    <w:rsid w:val="00B56E22"/>
    <w:rsid w:val="00B8734B"/>
    <w:rsid w:val="00B95081"/>
    <w:rsid w:val="00BE2A1A"/>
    <w:rsid w:val="00D0073E"/>
    <w:rsid w:val="00D13359"/>
    <w:rsid w:val="00E82DBD"/>
    <w:rsid w:val="00EA6110"/>
    <w:rsid w:val="00EB6E70"/>
    <w:rsid w:val="00F35A2B"/>
    <w:rsid w:val="00F62060"/>
    <w:rsid w:val="00F96FF1"/>
    <w:rsid w:val="00FC1BA3"/>
    <w:rsid w:val="00FE6DC4"/>
    <w:rsid w:val="00FF2D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E1"/>
    <w:rPr>
      <w:sz w:val="24"/>
      <w:lang w:val="en-AU" w:eastAsia="en-GB"/>
    </w:rPr>
  </w:style>
  <w:style w:type="paragraph" w:styleId="Heading1">
    <w:name w:val="heading 1"/>
    <w:basedOn w:val="Normal"/>
    <w:next w:val="Normal"/>
    <w:qFormat/>
    <w:rsid w:val="000051E1"/>
    <w:pPr>
      <w:keepNext/>
      <w:outlineLvl w:val="0"/>
    </w:pPr>
    <w:rPr>
      <w:b/>
      <w:sz w:val="20"/>
    </w:rPr>
  </w:style>
  <w:style w:type="paragraph" w:styleId="Heading2">
    <w:name w:val="heading 2"/>
    <w:basedOn w:val="Normal"/>
    <w:next w:val="Normal"/>
    <w:qFormat/>
    <w:rsid w:val="000051E1"/>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051E1"/>
    <w:pPr>
      <w:spacing w:before="120" w:after="120"/>
      <w:jc w:val="both"/>
    </w:pPr>
    <w:rPr>
      <w:b/>
      <w:sz w:val="16"/>
    </w:rPr>
  </w:style>
  <w:style w:type="paragraph" w:styleId="BodyText">
    <w:name w:val="Body Text"/>
    <w:basedOn w:val="Normal"/>
    <w:rsid w:val="000051E1"/>
    <w:pPr>
      <w:jc w:val="both"/>
    </w:pPr>
    <w:rPr>
      <w:sz w:val="20"/>
    </w:rPr>
  </w:style>
  <w:style w:type="paragraph" w:styleId="Title">
    <w:name w:val="Title"/>
    <w:basedOn w:val="Normal"/>
    <w:qFormat/>
    <w:rsid w:val="000051E1"/>
    <w:pPr>
      <w:jc w:val="center"/>
    </w:pPr>
    <w:rPr>
      <w:b/>
      <w:sz w:val="36"/>
    </w:rPr>
  </w:style>
  <w:style w:type="paragraph" w:styleId="BodyTextIndent">
    <w:name w:val="Body Text Indent"/>
    <w:basedOn w:val="Normal"/>
    <w:rsid w:val="000051E1"/>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E1"/>
    <w:rPr>
      <w:sz w:val="24"/>
      <w:lang w:val="en-AU" w:eastAsia="en-GB"/>
    </w:rPr>
  </w:style>
  <w:style w:type="paragraph" w:styleId="Titre1">
    <w:name w:val="heading 1"/>
    <w:basedOn w:val="Normal"/>
    <w:next w:val="Normal"/>
    <w:qFormat/>
    <w:rsid w:val="000051E1"/>
    <w:pPr>
      <w:keepNext/>
      <w:outlineLvl w:val="0"/>
    </w:pPr>
    <w:rPr>
      <w:b/>
      <w:sz w:val="20"/>
    </w:rPr>
  </w:style>
  <w:style w:type="paragraph" w:styleId="Titre2">
    <w:name w:val="heading 2"/>
    <w:basedOn w:val="Normal"/>
    <w:next w:val="Normal"/>
    <w:qFormat/>
    <w:rsid w:val="000051E1"/>
    <w:pPr>
      <w:keepNext/>
      <w:outlineLvl w:val="1"/>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051E1"/>
    <w:pPr>
      <w:spacing w:before="120" w:after="120"/>
      <w:jc w:val="both"/>
    </w:pPr>
    <w:rPr>
      <w:b/>
      <w:sz w:val="16"/>
    </w:rPr>
  </w:style>
  <w:style w:type="paragraph" w:styleId="Corpsdetexte">
    <w:name w:val="Body Text"/>
    <w:basedOn w:val="Normal"/>
    <w:rsid w:val="000051E1"/>
    <w:pPr>
      <w:jc w:val="both"/>
    </w:pPr>
    <w:rPr>
      <w:sz w:val="20"/>
    </w:rPr>
  </w:style>
  <w:style w:type="paragraph" w:styleId="Titre">
    <w:name w:val="Title"/>
    <w:basedOn w:val="Normal"/>
    <w:qFormat/>
    <w:rsid w:val="000051E1"/>
    <w:pPr>
      <w:jc w:val="center"/>
    </w:pPr>
    <w:rPr>
      <w:b/>
      <w:sz w:val="36"/>
    </w:rPr>
  </w:style>
  <w:style w:type="paragraph" w:styleId="Retraitcorpsdetexte">
    <w:name w:val="Body Text Indent"/>
    <w:basedOn w:val="Normal"/>
    <w:rsid w:val="000051E1"/>
    <w:pPr>
      <w:ind w:left="360"/>
    </w:pPr>
  </w:style>
  <w:style w:type="paragraph" w:styleId="Paragraphedeliste">
    <w:name w:val="List Paragraph"/>
    <w:basedOn w:val="Normal"/>
    <w:uiPriority w:val="34"/>
    <w:qFormat/>
    <w:rsid w:val="00B21BA8"/>
    <w:pPr>
      <w:ind w:left="720"/>
    </w:pPr>
  </w:style>
  <w:style w:type="paragraph" w:styleId="En-tte">
    <w:name w:val="header"/>
    <w:basedOn w:val="Normal"/>
    <w:link w:val="En-tteCar"/>
    <w:rsid w:val="00B370F7"/>
    <w:pPr>
      <w:tabs>
        <w:tab w:val="center" w:pos="4513"/>
        <w:tab w:val="right" w:pos="9026"/>
      </w:tabs>
    </w:pPr>
  </w:style>
  <w:style w:type="character" w:customStyle="1" w:styleId="En-tteCar">
    <w:name w:val="En-tête Car"/>
    <w:link w:val="En-tte"/>
    <w:rsid w:val="00B370F7"/>
    <w:rPr>
      <w:sz w:val="24"/>
      <w:lang w:val="en-AU" w:eastAsia="en-GB"/>
    </w:rPr>
  </w:style>
  <w:style w:type="paragraph" w:styleId="Pieddepage">
    <w:name w:val="footer"/>
    <w:basedOn w:val="Normal"/>
    <w:link w:val="PieddepageCar"/>
    <w:rsid w:val="00B370F7"/>
    <w:pPr>
      <w:tabs>
        <w:tab w:val="center" w:pos="4513"/>
        <w:tab w:val="right" w:pos="9026"/>
      </w:tabs>
    </w:pPr>
  </w:style>
  <w:style w:type="character" w:customStyle="1" w:styleId="PieddepageCar">
    <w:name w:val="Pied de page Car"/>
    <w:link w:val="Pieddepage"/>
    <w:rsid w:val="00B370F7"/>
    <w:rPr>
      <w:sz w:val="24"/>
      <w:lang w:val="en-AU" w:eastAsia="en-GB"/>
    </w:rPr>
  </w:style>
  <w:style w:type="paragraph" w:styleId="Textedebulles">
    <w:name w:val="Balloon Text"/>
    <w:basedOn w:val="Normal"/>
    <w:link w:val="TextedebullesCar"/>
    <w:rsid w:val="00250D41"/>
    <w:rPr>
      <w:rFonts w:ascii="Tahoma" w:hAnsi="Tahoma" w:cs="Tahoma"/>
      <w:sz w:val="16"/>
      <w:szCs w:val="16"/>
    </w:rPr>
  </w:style>
  <w:style w:type="character" w:customStyle="1" w:styleId="TextedebullesCar">
    <w:name w:val="Texte de bulles Car"/>
    <w:basedOn w:val="Policepardfaut"/>
    <w:link w:val="Textedebulles"/>
    <w:rsid w:val="00250D41"/>
    <w:rPr>
      <w:rFonts w:ascii="Tahoma" w:hAnsi="Tahoma" w:cs="Tahoma"/>
      <w:sz w:val="16"/>
      <w:szCs w:val="16"/>
      <w:lang w:val="en-AU" w:eastAsia="en-GB"/>
    </w:rPr>
  </w:style>
  <w:style w:type="character" w:styleId="Textedelespacerserv">
    <w:name w:val="Placeholder Text"/>
    <w:basedOn w:val="Policepardfaut"/>
    <w:uiPriority w:val="99"/>
    <w:semiHidden/>
    <w:rsid w:val="00250D41"/>
    <w:rPr>
      <w:color w:val="808080"/>
    </w:rPr>
  </w:style>
  <w:style w:type="character" w:styleId="Lienhypertexte">
    <w:name w:val="Hyperlink"/>
    <w:basedOn w:val="Policepardfaut"/>
    <w:rsid w:val="00250D41"/>
    <w:rPr>
      <w:color w:val="0000FF" w:themeColor="hyperlink"/>
      <w:u w:val="single"/>
    </w:rPr>
  </w:style>
  <w:style w:type="character" w:styleId="Lienhypertextesuivivisit">
    <w:name w:val="FollowedHyperlink"/>
    <w:basedOn w:val="Policepardfaut"/>
    <w:rsid w:val="00A86C3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6098-6F15-41DB-BA69-106C8792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template[1].dot</Template>
  <TotalTime>1</TotalTime>
  <Pages>1</Pages>
  <Words>301</Words>
  <Characters>1719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MSA Value in Measurement 2004</vt:lpstr>
      <vt:lpstr>MSA Value in Measurement 2004</vt:lpstr>
    </vt:vector>
  </TitlesOfParts>
  <Company>Metrology Society of Australia</Company>
  <LinksUpToDate>false</LinksUpToDate>
  <CharactersWithSpaces>2016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Anfiyus</cp:lastModifiedBy>
  <cp:revision>3</cp:revision>
  <cp:lastPrinted>2015-08-31T03:45:00Z</cp:lastPrinted>
  <dcterms:created xsi:type="dcterms:W3CDTF">2016-02-24T09:37:00Z</dcterms:created>
  <dcterms:modified xsi:type="dcterms:W3CDTF">2016-02-25T01:30:00Z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