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CF" w:rsidRPr="007419CF" w:rsidRDefault="007419CF" w:rsidP="007419CF">
      <w:pPr>
        <w:pStyle w:val="Titre"/>
      </w:pPr>
      <w:r w:rsidRPr="007419CF">
        <w:t>Clamp-on temperature measurement in a dynamic regime</w:t>
      </w:r>
    </w:p>
    <w:p w:rsidR="005F2C46" w:rsidRDefault="005F2C46"/>
    <w:p w:rsidR="005F2C46" w:rsidRDefault="007419CF" w:rsidP="007419CF">
      <w:pPr>
        <w:pStyle w:val="Corpsdetexte"/>
        <w:jc w:val="center"/>
        <w:rPr>
          <w:b/>
          <w:sz w:val="24"/>
        </w:rPr>
      </w:pPr>
      <w:r>
        <w:rPr>
          <w:b/>
          <w:sz w:val="24"/>
        </w:rPr>
        <w:t>Fares BEN RAYANA</w:t>
      </w:r>
      <w:r w:rsidR="00D13359" w:rsidRPr="00D13359">
        <w:rPr>
          <w:b/>
          <w:sz w:val="24"/>
          <w:vertAlign w:val="superscript"/>
        </w:rPr>
        <w:t>1</w:t>
      </w:r>
    </w:p>
    <w:p w:rsidR="005F2C46" w:rsidRDefault="005F2C46">
      <w:pPr>
        <w:jc w:val="center"/>
        <w:rPr>
          <w:i/>
          <w:sz w:val="22"/>
        </w:rPr>
      </w:pPr>
    </w:p>
    <w:p w:rsidR="00D13359" w:rsidRPr="00AF4727" w:rsidRDefault="00D13359" w:rsidP="00D13359">
      <w:pPr>
        <w:jc w:val="center"/>
        <w:rPr>
          <w:i/>
          <w:sz w:val="20"/>
        </w:rPr>
      </w:pPr>
      <w:r w:rsidRPr="00AF4727">
        <w:rPr>
          <w:i/>
          <w:sz w:val="20"/>
          <w:vertAlign w:val="superscript"/>
        </w:rPr>
        <w:t>1</w:t>
      </w:r>
      <w:r w:rsidR="007419CF" w:rsidRPr="00AF4727">
        <w:rPr>
          <w:i/>
          <w:sz w:val="20"/>
        </w:rPr>
        <w:t>ENGIE</w:t>
      </w:r>
      <w:r w:rsidRPr="00AF4727">
        <w:rPr>
          <w:i/>
          <w:sz w:val="20"/>
        </w:rPr>
        <w:t xml:space="preserve">, </w:t>
      </w:r>
      <w:hyperlink r:id="rId8" w:history="1">
        <w:r w:rsidR="007419CF" w:rsidRPr="00AF4727">
          <w:rPr>
            <w:rStyle w:val="Lienhypertexte"/>
            <w:i/>
            <w:sz w:val="20"/>
          </w:rPr>
          <w:t>fares.ben-rayana@engie.com</w:t>
        </w:r>
      </w:hyperlink>
      <w:r w:rsidRPr="00AF4727">
        <w:rPr>
          <w:i/>
          <w:sz w:val="20"/>
        </w:rPr>
        <w:t xml:space="preserve">, </w:t>
      </w:r>
      <w:r w:rsidR="007419CF" w:rsidRPr="00AF4727">
        <w:rPr>
          <w:i/>
          <w:sz w:val="20"/>
        </w:rPr>
        <w:t>Saint-Denis</w:t>
      </w:r>
      <w:r w:rsidRPr="00AF4727">
        <w:rPr>
          <w:i/>
          <w:sz w:val="20"/>
        </w:rPr>
        <w:t xml:space="preserve">, </w:t>
      </w:r>
      <w:r w:rsidR="007419CF" w:rsidRPr="00AF4727">
        <w:rPr>
          <w:i/>
          <w:sz w:val="20"/>
        </w:rPr>
        <w:t>France</w:t>
      </w:r>
    </w:p>
    <w:p w:rsidR="005F2C46" w:rsidRPr="00AF4727" w:rsidRDefault="00D13359" w:rsidP="00D13359">
      <w:pPr>
        <w:jc w:val="center"/>
        <w:rPr>
          <w:i/>
          <w:sz w:val="20"/>
        </w:rPr>
      </w:pPr>
      <w:r w:rsidRPr="00D13359">
        <w:rPr>
          <w:i/>
          <w:sz w:val="20"/>
        </w:rPr>
        <w:t xml:space="preserve">E-mail (corresponding author): </w:t>
      </w:r>
      <w:hyperlink r:id="rId9" w:history="1">
        <w:r w:rsidR="007419CF" w:rsidRPr="00AF4727">
          <w:rPr>
            <w:rStyle w:val="Lienhypertexte"/>
            <w:i/>
            <w:sz w:val="20"/>
          </w:rPr>
          <w:t>fares.ben-rayana@engie.com</w:t>
        </w:r>
      </w:hyperlink>
    </w:p>
    <w:p w:rsidR="005F2C46" w:rsidRDefault="000E7E8E">
      <w:r>
        <w:pict>
          <v:rect id="_x0000_i1025" style="width:0;height:1.5pt" o:hralign="center" o:hrstd="t" o:hr="t" fillcolor="gray" stroked="f"/>
        </w:pict>
      </w:r>
    </w:p>
    <w:p w:rsidR="00AB51F5" w:rsidRPr="00AB51F5" w:rsidRDefault="00AB51F5" w:rsidP="00AB51F5"/>
    <w:p w:rsidR="007419CF" w:rsidRPr="007419CF" w:rsidRDefault="007419CF" w:rsidP="007419CF">
      <w:pPr>
        <w:jc w:val="both"/>
        <w:rPr>
          <w:szCs w:val="24"/>
        </w:rPr>
      </w:pPr>
      <w:r w:rsidRPr="007419CF">
        <w:rPr>
          <w:szCs w:val="24"/>
        </w:rPr>
        <w:t>The gas temperature is a key parameter for the operating of a transmission or distribution grid and more specifically: the pipeline safe (freeze effect), the integrity of the security systems (valves, vents, seals...) and the measurement quality of flowmeters and other gauges (pressure, temperature, gas composition...). At present, for the French gas grid, the only way for the temperature measurement is by thermowell and a PT100 probe. This method is precise and fast. But, it is highly expensive in terms of investment, fixed assets period and control procedures. An alternative to this method is the clamp-on temperature measurement. This method is:</w:t>
      </w:r>
    </w:p>
    <w:p w:rsidR="007419CF" w:rsidRPr="007419CF" w:rsidRDefault="007419CF" w:rsidP="007419CF">
      <w:pPr>
        <w:pStyle w:val="Paragraphedeliste"/>
        <w:numPr>
          <w:ilvl w:val="0"/>
          <w:numId w:val="7"/>
        </w:numPr>
        <w:jc w:val="both"/>
        <w:rPr>
          <w:szCs w:val="24"/>
        </w:rPr>
      </w:pPr>
      <w:r w:rsidRPr="007419CF">
        <w:rPr>
          <w:szCs w:val="24"/>
        </w:rPr>
        <w:t xml:space="preserve">non-intrusive, then less control procedures, </w:t>
      </w:r>
    </w:p>
    <w:p w:rsidR="007419CF" w:rsidRPr="007419CF" w:rsidRDefault="007419CF" w:rsidP="007419CF">
      <w:pPr>
        <w:pStyle w:val="Paragraphedeliste"/>
        <w:numPr>
          <w:ilvl w:val="0"/>
          <w:numId w:val="7"/>
        </w:numPr>
        <w:jc w:val="both"/>
        <w:rPr>
          <w:szCs w:val="24"/>
        </w:rPr>
      </w:pPr>
      <w:r w:rsidRPr="007419CF">
        <w:rPr>
          <w:szCs w:val="24"/>
        </w:rPr>
        <w:t>easily installed, then no fixed assets, less work time,</w:t>
      </w:r>
    </w:p>
    <w:p w:rsidR="007419CF" w:rsidRDefault="007419CF" w:rsidP="007419CF">
      <w:pPr>
        <w:pStyle w:val="Paragraphedeliste"/>
        <w:numPr>
          <w:ilvl w:val="0"/>
          <w:numId w:val="7"/>
        </w:numPr>
        <w:jc w:val="both"/>
        <w:rPr>
          <w:szCs w:val="24"/>
        </w:rPr>
      </w:pPr>
      <w:r w:rsidRPr="007419CF">
        <w:rPr>
          <w:szCs w:val="24"/>
        </w:rPr>
        <w:t xml:space="preserve">less expensive, then less investment. </w:t>
      </w:r>
    </w:p>
    <w:p w:rsidR="007419CF" w:rsidRPr="007419CF" w:rsidRDefault="007419CF" w:rsidP="007419CF">
      <w:pPr>
        <w:jc w:val="both"/>
        <w:rPr>
          <w:szCs w:val="24"/>
        </w:rPr>
      </w:pPr>
    </w:p>
    <w:p w:rsidR="007419CF" w:rsidRPr="007419CF" w:rsidRDefault="007419CF" w:rsidP="007419CF">
      <w:pPr>
        <w:jc w:val="both"/>
        <w:rPr>
          <w:szCs w:val="24"/>
        </w:rPr>
      </w:pPr>
      <w:r w:rsidRPr="007419CF">
        <w:rPr>
          <w:szCs w:val="24"/>
        </w:rPr>
        <w:t>For all these reasons, this method is an interesting alternative for the thermowell.</w:t>
      </w:r>
    </w:p>
    <w:p w:rsidR="007419CF" w:rsidRDefault="007419CF" w:rsidP="007419CF">
      <w:pPr>
        <w:jc w:val="both"/>
        <w:rPr>
          <w:szCs w:val="24"/>
        </w:rPr>
      </w:pPr>
    </w:p>
    <w:p w:rsidR="007419CF" w:rsidRPr="007419CF" w:rsidRDefault="007419CF" w:rsidP="007419CF">
      <w:pPr>
        <w:jc w:val="both"/>
        <w:rPr>
          <w:szCs w:val="24"/>
        </w:rPr>
      </w:pPr>
      <w:r w:rsidRPr="007419CF">
        <w:rPr>
          <w:szCs w:val="24"/>
        </w:rPr>
        <w:t>This paper answers the flowing issues:</w:t>
      </w:r>
    </w:p>
    <w:p w:rsidR="007419CF" w:rsidRPr="007419CF" w:rsidRDefault="007419CF" w:rsidP="007419CF">
      <w:pPr>
        <w:pStyle w:val="Paragraphedeliste"/>
        <w:numPr>
          <w:ilvl w:val="0"/>
          <w:numId w:val="7"/>
        </w:numPr>
        <w:jc w:val="both"/>
        <w:rPr>
          <w:szCs w:val="24"/>
        </w:rPr>
      </w:pPr>
      <w:r w:rsidRPr="007419CF">
        <w:rPr>
          <w:szCs w:val="24"/>
        </w:rPr>
        <w:t>the validation and the optimization of the clamp-on temperature measurement method for dynamic regime (high and rapid temperature variations),</w:t>
      </w:r>
    </w:p>
    <w:p w:rsidR="007419CF" w:rsidRPr="007419CF" w:rsidRDefault="007419CF" w:rsidP="007419CF">
      <w:pPr>
        <w:pStyle w:val="Paragraphedeliste"/>
        <w:numPr>
          <w:ilvl w:val="0"/>
          <w:numId w:val="7"/>
        </w:numPr>
        <w:jc w:val="both"/>
        <w:rPr>
          <w:szCs w:val="24"/>
        </w:rPr>
      </w:pPr>
      <w:r w:rsidRPr="007419CF">
        <w:rPr>
          <w:szCs w:val="24"/>
        </w:rPr>
        <w:t>the characterization of the clamp-on temperature measurement (error, time delay...)</w:t>
      </w:r>
    </w:p>
    <w:p w:rsidR="007419CF" w:rsidRPr="007419CF" w:rsidRDefault="007419CF" w:rsidP="007419CF">
      <w:pPr>
        <w:pStyle w:val="Paragraphedeliste"/>
        <w:numPr>
          <w:ilvl w:val="0"/>
          <w:numId w:val="7"/>
        </w:numPr>
        <w:jc w:val="both"/>
        <w:rPr>
          <w:szCs w:val="24"/>
        </w:rPr>
      </w:pPr>
      <w:r w:rsidRPr="007419CF">
        <w:rPr>
          <w:szCs w:val="24"/>
        </w:rPr>
        <w:t>the comparison with the thermowell measurements,</w:t>
      </w:r>
    </w:p>
    <w:p w:rsidR="007419CF" w:rsidRPr="007419CF" w:rsidRDefault="007419CF" w:rsidP="007419CF">
      <w:pPr>
        <w:pStyle w:val="Paragraphedeliste"/>
        <w:numPr>
          <w:ilvl w:val="0"/>
          <w:numId w:val="7"/>
        </w:numPr>
        <w:jc w:val="both"/>
        <w:rPr>
          <w:szCs w:val="24"/>
        </w:rPr>
      </w:pPr>
      <w:r w:rsidRPr="007419CF">
        <w:rPr>
          <w:szCs w:val="24"/>
        </w:rPr>
        <w:t>the determination of the optimal operating practices for this method.</w:t>
      </w:r>
    </w:p>
    <w:p w:rsidR="007419CF" w:rsidRPr="00105FA3" w:rsidRDefault="007419CF" w:rsidP="007419CF">
      <w:pPr>
        <w:pStyle w:val="DR-Corpsdetexte1"/>
        <w:spacing w:after="0" w:line="240" w:lineRule="auto"/>
        <w:jc w:val="center"/>
        <w:rPr>
          <w:sz w:val="18"/>
          <w:lang w:val="en-US"/>
        </w:rPr>
      </w:pPr>
      <w:r w:rsidRPr="00BF047A">
        <w:rPr>
          <w:noProof/>
        </w:rPr>
        <w:drawing>
          <wp:inline distT="0" distB="0" distL="0" distR="0">
            <wp:extent cx="1380240" cy="1944000"/>
            <wp:effectExtent l="19050" t="0" r="0" b="0"/>
            <wp:docPr id="1"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0" cstate="print"/>
                    <a:srcRect l="38689" t="30467" r="24899" b="6108"/>
                    <a:stretch/>
                  </pic:blipFill>
                  <pic:spPr bwMode="auto">
                    <a:xfrm>
                      <a:off x="0" y="0"/>
                      <a:ext cx="1380240" cy="1944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105FA3">
        <w:rPr>
          <w:sz w:val="18"/>
          <w:lang w:val="en-US"/>
        </w:rPr>
        <w:t xml:space="preserve"> </w:t>
      </w:r>
      <w:r>
        <w:rPr>
          <w:sz w:val="18"/>
          <w:lang w:val="en-US"/>
        </w:rPr>
        <w:t xml:space="preserve">            </w:t>
      </w:r>
      <w:r w:rsidRPr="00105FA3">
        <w:rPr>
          <w:sz w:val="18"/>
          <w:lang w:val="en-US"/>
        </w:rPr>
        <w:t xml:space="preserve">   </w:t>
      </w:r>
      <w:r>
        <w:rPr>
          <w:noProof/>
        </w:rPr>
        <w:drawing>
          <wp:inline distT="0" distB="0" distL="0" distR="0">
            <wp:extent cx="1334232" cy="1944000"/>
            <wp:effectExtent l="19050" t="0" r="0" b="0"/>
            <wp:docPr id="2"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11" cstate="print"/>
                    <a:srcRect l="52121" t="9453" r="19517" b="44967"/>
                    <a:stretch/>
                  </pic:blipFill>
                  <pic:spPr bwMode="auto">
                    <a:xfrm>
                      <a:off x="0" y="0"/>
                      <a:ext cx="1334232" cy="1944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419CF" w:rsidRPr="007419CF" w:rsidRDefault="007419CF" w:rsidP="007419CF">
      <w:pPr>
        <w:pStyle w:val="Lgende"/>
        <w:jc w:val="center"/>
        <w:rPr>
          <w:sz w:val="24"/>
          <w:szCs w:val="24"/>
          <w:lang w:val="en-US"/>
        </w:rPr>
      </w:pPr>
      <w:bookmarkStart w:id="0" w:name="_Ref362118703"/>
      <w:r w:rsidRPr="007419CF">
        <w:rPr>
          <w:sz w:val="24"/>
          <w:szCs w:val="24"/>
          <w:lang w:val="en-US"/>
        </w:rPr>
        <w:t xml:space="preserve">Figure </w:t>
      </w:r>
      <w:r w:rsidR="000E7E8E" w:rsidRPr="007419CF">
        <w:rPr>
          <w:sz w:val="24"/>
          <w:szCs w:val="24"/>
        </w:rPr>
        <w:fldChar w:fldCharType="begin"/>
      </w:r>
      <w:r w:rsidRPr="007419CF">
        <w:rPr>
          <w:sz w:val="24"/>
          <w:szCs w:val="24"/>
          <w:lang w:val="en-US"/>
        </w:rPr>
        <w:instrText xml:space="preserve"> SEQ Figure \* ARABIC </w:instrText>
      </w:r>
      <w:r w:rsidR="000E7E8E" w:rsidRPr="007419CF">
        <w:rPr>
          <w:sz w:val="24"/>
          <w:szCs w:val="24"/>
        </w:rPr>
        <w:fldChar w:fldCharType="separate"/>
      </w:r>
      <w:r w:rsidRPr="007419CF">
        <w:rPr>
          <w:noProof/>
          <w:sz w:val="24"/>
          <w:szCs w:val="24"/>
          <w:lang w:val="en-US"/>
        </w:rPr>
        <w:t>1</w:t>
      </w:r>
      <w:r w:rsidR="000E7E8E" w:rsidRPr="007419CF">
        <w:rPr>
          <w:sz w:val="24"/>
          <w:szCs w:val="24"/>
        </w:rPr>
        <w:fldChar w:fldCharType="end"/>
      </w:r>
      <w:bookmarkEnd w:id="0"/>
      <w:r w:rsidRPr="007419CF">
        <w:rPr>
          <w:sz w:val="24"/>
          <w:szCs w:val="24"/>
          <w:lang w:val="en-US"/>
        </w:rPr>
        <w:t xml:space="preserve"> – Two clamp-on temperature probes. Left: A PT100 chip probe. Right: The EMERSON standard TE008 (PT100)</w:t>
      </w:r>
    </w:p>
    <w:p w:rsidR="00EA6110" w:rsidRDefault="000E7E8E" w:rsidP="00737D34">
      <w:pPr>
        <w:sectPr w:rsidR="00EA6110" w:rsidSect="00A86C33">
          <w:footerReference w:type="default" r:id="rId12"/>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Corpsdetexte"/>
        <w:tabs>
          <w:tab w:val="center" w:pos="2268"/>
          <w:tab w:val="right" w:pos="4536"/>
        </w:tabs>
      </w:pPr>
    </w:p>
    <w:p w:rsidR="005F2C46" w:rsidRDefault="005F2C46">
      <w:pPr>
        <w:pStyle w:val="Corpsdetexte"/>
      </w:pPr>
    </w:p>
    <w:sectPr w:rsidR="005F2C46" w:rsidSect="00A86C33">
      <w:footerReference w:type="default" r:id="rId13"/>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B3E" w:rsidRDefault="00255B3E" w:rsidP="00B370F7">
      <w:r>
        <w:separator/>
      </w:r>
    </w:p>
  </w:endnote>
  <w:endnote w:type="continuationSeparator" w:id="0">
    <w:p w:rsidR="00255B3E" w:rsidRDefault="00255B3E"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Pieddepage"/>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w:t>
    </w:r>
    <w:r w:rsidR="00B370F7">
      <w:rPr>
        <w:sz w:val="20"/>
      </w:rPr>
      <w:t xml:space="preserve"> </w:t>
    </w:r>
    <w:r>
      <w:rPr>
        <w:sz w:val="20"/>
      </w:rPr>
      <w:t>26</w:t>
    </w:r>
    <w:r w:rsidR="00B370F7">
      <w:rPr>
        <w:sz w:val="20"/>
      </w:rPr>
      <w:t>-</w:t>
    </w:r>
    <w:r>
      <w:rPr>
        <w:sz w:val="20"/>
      </w:rPr>
      <w:t>29</w:t>
    </w:r>
    <w:r w:rsidR="00B370F7">
      <w:rPr>
        <w:sz w:val="20"/>
      </w:rPr>
      <w:t>, 201</w:t>
    </w:r>
    <w:r>
      <w:rPr>
        <w:sz w:val="20"/>
      </w:rPr>
      <w:t>6</w:t>
    </w:r>
    <w:r w:rsidR="00B370F7">
      <w:rPr>
        <w:sz w:val="20"/>
      </w:rPr>
      <w:tab/>
    </w:r>
    <w:r w:rsidR="00A86C33">
      <w:rPr>
        <w:sz w:val="20"/>
      </w:rPr>
      <w:t xml:space="preserve"> </w:t>
    </w:r>
    <w:r w:rsidR="003C0BF7">
      <w:rPr>
        <w:sz w:val="20"/>
      </w:rPr>
      <w:t>Page</w:t>
    </w:r>
    <w:r w:rsidR="00B370F7" w:rsidRPr="00B370F7">
      <w:rPr>
        <w:sz w:val="20"/>
      </w:rPr>
      <w:t xml:space="preserve"> </w:t>
    </w:r>
    <w:r w:rsidR="000E7E8E" w:rsidRPr="00B370F7">
      <w:rPr>
        <w:sz w:val="20"/>
      </w:rPr>
      <w:fldChar w:fldCharType="begin"/>
    </w:r>
    <w:r w:rsidR="00B370F7" w:rsidRPr="00B370F7">
      <w:rPr>
        <w:sz w:val="20"/>
      </w:rPr>
      <w:instrText xml:space="preserve"> PAGE   \* MERGEFORMAT </w:instrText>
    </w:r>
    <w:r w:rsidR="000E7E8E" w:rsidRPr="00B370F7">
      <w:rPr>
        <w:sz w:val="20"/>
      </w:rPr>
      <w:fldChar w:fldCharType="separate"/>
    </w:r>
    <w:r w:rsidR="00AF4727">
      <w:rPr>
        <w:noProof/>
        <w:sz w:val="20"/>
      </w:rPr>
      <w:t>1</w:t>
    </w:r>
    <w:r w:rsidR="000E7E8E"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Pieddepage"/>
      <w:tabs>
        <w:tab w:val="right" w:pos="9781"/>
      </w:tabs>
      <w:rPr>
        <w:sz w:val="20"/>
      </w:rPr>
    </w:pPr>
  </w:p>
  <w:p w:rsidR="00250D41" w:rsidRPr="00B370F7" w:rsidRDefault="00A217DA" w:rsidP="00250D41">
    <w:pPr>
      <w:pStyle w:val="Pieddepage"/>
      <w:tabs>
        <w:tab w:val="clear" w:pos="4513"/>
        <w:tab w:val="clear" w:pos="9026"/>
        <w:tab w:val="right" w:pos="9781"/>
      </w:tabs>
      <w:rPr>
        <w:sz w:val="20"/>
      </w:rPr>
    </w:pPr>
    <w:r>
      <w:rPr>
        <w:sz w:val="20"/>
      </w:rPr>
      <w:t>FLOMEKO 2016, Sydney, Australia, September 26-29, 2016</w:t>
    </w:r>
    <w:r w:rsidR="00250D41">
      <w:rPr>
        <w:sz w:val="20"/>
      </w:rPr>
      <w:tab/>
      <w:t xml:space="preserve">   Page</w:t>
    </w:r>
    <w:r w:rsidR="00250D41" w:rsidRPr="00B370F7">
      <w:rPr>
        <w:sz w:val="20"/>
      </w:rPr>
      <w:t xml:space="preserve"> </w:t>
    </w:r>
    <w:r w:rsidR="000E7E8E" w:rsidRPr="00B370F7">
      <w:rPr>
        <w:sz w:val="20"/>
      </w:rPr>
      <w:fldChar w:fldCharType="begin"/>
    </w:r>
    <w:r w:rsidR="00250D41" w:rsidRPr="00B370F7">
      <w:rPr>
        <w:sz w:val="20"/>
      </w:rPr>
      <w:instrText xml:space="preserve"> PAGE   \* MERGEFORMAT </w:instrText>
    </w:r>
    <w:r w:rsidR="000E7E8E" w:rsidRPr="00B370F7">
      <w:rPr>
        <w:sz w:val="20"/>
      </w:rPr>
      <w:fldChar w:fldCharType="separate"/>
    </w:r>
    <w:r w:rsidR="007419CF">
      <w:rPr>
        <w:noProof/>
        <w:sz w:val="20"/>
      </w:rPr>
      <w:t>2</w:t>
    </w:r>
    <w:r w:rsidR="000E7E8E"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B3E" w:rsidRDefault="00255B3E" w:rsidP="00B370F7">
      <w:r>
        <w:separator/>
      </w:r>
    </w:p>
  </w:footnote>
  <w:footnote w:type="continuationSeparator" w:id="0">
    <w:p w:rsidR="00255B3E" w:rsidRDefault="00255B3E"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413F554A"/>
    <w:multiLevelType w:val="hybridMultilevel"/>
    <w:tmpl w:val="7B1E89EA"/>
    <w:lvl w:ilvl="0" w:tplc="276A8C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3">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F47067"/>
    <w:multiLevelType w:val="hybridMultilevel"/>
    <w:tmpl w:val="D9F0657C"/>
    <w:lvl w:ilvl="0" w:tplc="353EEA6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5F2C46"/>
    <w:rsid w:val="000E7E8E"/>
    <w:rsid w:val="00250D41"/>
    <w:rsid w:val="00255B3E"/>
    <w:rsid w:val="002A73B9"/>
    <w:rsid w:val="002B54FB"/>
    <w:rsid w:val="003C0BF7"/>
    <w:rsid w:val="003D6491"/>
    <w:rsid w:val="00481C7F"/>
    <w:rsid w:val="005912E1"/>
    <w:rsid w:val="005B3B20"/>
    <w:rsid w:val="005C07BE"/>
    <w:rsid w:val="005F2C46"/>
    <w:rsid w:val="006248F6"/>
    <w:rsid w:val="00641DAC"/>
    <w:rsid w:val="00657F17"/>
    <w:rsid w:val="006F12BB"/>
    <w:rsid w:val="00737D34"/>
    <w:rsid w:val="007419CF"/>
    <w:rsid w:val="007D499A"/>
    <w:rsid w:val="007F73B3"/>
    <w:rsid w:val="00807BEF"/>
    <w:rsid w:val="00815774"/>
    <w:rsid w:val="00825F28"/>
    <w:rsid w:val="008357DD"/>
    <w:rsid w:val="008B29EC"/>
    <w:rsid w:val="008B4239"/>
    <w:rsid w:val="00905079"/>
    <w:rsid w:val="00A0063B"/>
    <w:rsid w:val="00A12E51"/>
    <w:rsid w:val="00A217DA"/>
    <w:rsid w:val="00A45D7A"/>
    <w:rsid w:val="00A8657D"/>
    <w:rsid w:val="00A86C33"/>
    <w:rsid w:val="00AB51F5"/>
    <w:rsid w:val="00AF4727"/>
    <w:rsid w:val="00AF5702"/>
    <w:rsid w:val="00B21BA8"/>
    <w:rsid w:val="00B33C9D"/>
    <w:rsid w:val="00B370F7"/>
    <w:rsid w:val="00B56E22"/>
    <w:rsid w:val="00B8734B"/>
    <w:rsid w:val="00BE2A1A"/>
    <w:rsid w:val="00D0073E"/>
    <w:rsid w:val="00D13359"/>
    <w:rsid w:val="00EA6110"/>
    <w:rsid w:val="00F62060"/>
    <w:rsid w:val="00F96FF1"/>
    <w:rsid w:val="00FC1BA3"/>
    <w:rsid w:val="00FE6DC4"/>
    <w:rsid w:val="00FF2D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FB"/>
    <w:rPr>
      <w:sz w:val="24"/>
      <w:lang w:val="en-AU" w:eastAsia="en-GB"/>
    </w:rPr>
  </w:style>
  <w:style w:type="paragraph" w:styleId="Titre1">
    <w:name w:val="heading 1"/>
    <w:basedOn w:val="Normal"/>
    <w:next w:val="Normal"/>
    <w:qFormat/>
    <w:rsid w:val="002B54FB"/>
    <w:pPr>
      <w:keepNext/>
      <w:outlineLvl w:val="0"/>
    </w:pPr>
    <w:rPr>
      <w:b/>
      <w:sz w:val="20"/>
    </w:rPr>
  </w:style>
  <w:style w:type="paragraph" w:styleId="Titre2">
    <w:name w:val="heading 2"/>
    <w:basedOn w:val="Normal"/>
    <w:next w:val="Normal"/>
    <w:qFormat/>
    <w:rsid w:val="002B54FB"/>
    <w:pPr>
      <w:keepNext/>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qFormat/>
    <w:rsid w:val="002B54FB"/>
    <w:pPr>
      <w:spacing w:before="120" w:after="120"/>
      <w:jc w:val="both"/>
    </w:pPr>
    <w:rPr>
      <w:b/>
      <w:sz w:val="16"/>
    </w:rPr>
  </w:style>
  <w:style w:type="paragraph" w:styleId="Corpsdetexte">
    <w:name w:val="Body Text"/>
    <w:basedOn w:val="Normal"/>
    <w:rsid w:val="002B54FB"/>
    <w:pPr>
      <w:jc w:val="both"/>
    </w:pPr>
    <w:rPr>
      <w:sz w:val="20"/>
    </w:rPr>
  </w:style>
  <w:style w:type="paragraph" w:styleId="Titre">
    <w:name w:val="Title"/>
    <w:basedOn w:val="Normal"/>
    <w:qFormat/>
    <w:rsid w:val="002B54FB"/>
    <w:pPr>
      <w:jc w:val="center"/>
    </w:pPr>
    <w:rPr>
      <w:b/>
      <w:sz w:val="36"/>
    </w:rPr>
  </w:style>
  <w:style w:type="paragraph" w:styleId="Retraitcorpsdetexte">
    <w:name w:val="Body Text Indent"/>
    <w:basedOn w:val="Normal"/>
    <w:rsid w:val="002B54FB"/>
    <w:pPr>
      <w:ind w:left="360"/>
    </w:pPr>
  </w:style>
  <w:style w:type="paragraph" w:styleId="Paragraphedeliste">
    <w:name w:val="List Paragraph"/>
    <w:basedOn w:val="Normal"/>
    <w:uiPriority w:val="34"/>
    <w:qFormat/>
    <w:rsid w:val="00B21BA8"/>
    <w:pPr>
      <w:ind w:left="720"/>
    </w:pPr>
  </w:style>
  <w:style w:type="paragraph" w:styleId="En-tte">
    <w:name w:val="header"/>
    <w:basedOn w:val="Normal"/>
    <w:link w:val="En-tteCar"/>
    <w:rsid w:val="00B370F7"/>
    <w:pPr>
      <w:tabs>
        <w:tab w:val="center" w:pos="4513"/>
        <w:tab w:val="right" w:pos="9026"/>
      </w:tabs>
    </w:pPr>
  </w:style>
  <w:style w:type="character" w:customStyle="1" w:styleId="En-tteCar">
    <w:name w:val="En-tête Car"/>
    <w:link w:val="En-tte"/>
    <w:rsid w:val="00B370F7"/>
    <w:rPr>
      <w:sz w:val="24"/>
      <w:lang w:val="en-AU" w:eastAsia="en-GB"/>
    </w:rPr>
  </w:style>
  <w:style w:type="paragraph" w:styleId="Pieddepage">
    <w:name w:val="footer"/>
    <w:basedOn w:val="Normal"/>
    <w:link w:val="PieddepageCar"/>
    <w:rsid w:val="00B370F7"/>
    <w:pPr>
      <w:tabs>
        <w:tab w:val="center" w:pos="4513"/>
        <w:tab w:val="right" w:pos="9026"/>
      </w:tabs>
    </w:pPr>
  </w:style>
  <w:style w:type="character" w:customStyle="1" w:styleId="PieddepageCar">
    <w:name w:val="Pied de page Car"/>
    <w:link w:val="Pieddepage"/>
    <w:rsid w:val="00B370F7"/>
    <w:rPr>
      <w:sz w:val="24"/>
      <w:lang w:val="en-AU" w:eastAsia="en-GB"/>
    </w:rPr>
  </w:style>
  <w:style w:type="paragraph" w:styleId="Textedebulles">
    <w:name w:val="Balloon Text"/>
    <w:basedOn w:val="Normal"/>
    <w:link w:val="TextedebullesCar"/>
    <w:rsid w:val="00250D41"/>
    <w:rPr>
      <w:rFonts w:ascii="Tahoma" w:hAnsi="Tahoma" w:cs="Tahoma"/>
      <w:sz w:val="16"/>
      <w:szCs w:val="16"/>
    </w:rPr>
  </w:style>
  <w:style w:type="character" w:customStyle="1" w:styleId="TextedebullesCar">
    <w:name w:val="Texte de bulles Car"/>
    <w:basedOn w:val="Policepardfaut"/>
    <w:link w:val="Textedebulles"/>
    <w:rsid w:val="00250D41"/>
    <w:rPr>
      <w:rFonts w:ascii="Tahoma" w:hAnsi="Tahoma" w:cs="Tahoma"/>
      <w:sz w:val="16"/>
      <w:szCs w:val="16"/>
      <w:lang w:val="en-AU" w:eastAsia="en-GB"/>
    </w:rPr>
  </w:style>
  <w:style w:type="character" w:styleId="Textedelespacerserv">
    <w:name w:val="Placeholder Text"/>
    <w:basedOn w:val="Policepardfaut"/>
    <w:uiPriority w:val="99"/>
    <w:semiHidden/>
    <w:rsid w:val="00250D41"/>
    <w:rPr>
      <w:color w:val="808080"/>
    </w:rPr>
  </w:style>
  <w:style w:type="character" w:styleId="Lienhypertexte">
    <w:name w:val="Hyperlink"/>
    <w:basedOn w:val="Policepardfaut"/>
    <w:rsid w:val="00250D41"/>
    <w:rPr>
      <w:color w:val="0000FF" w:themeColor="hyperlink"/>
      <w:u w:val="single"/>
    </w:rPr>
  </w:style>
  <w:style w:type="character" w:styleId="Lienhypertextesuivivisit">
    <w:name w:val="FollowedHyperlink"/>
    <w:basedOn w:val="Policepardfaut"/>
    <w:rsid w:val="00A86C33"/>
    <w:rPr>
      <w:color w:val="800080" w:themeColor="followedHyperlink"/>
      <w:u w:val="single"/>
    </w:rPr>
  </w:style>
  <w:style w:type="paragraph" w:customStyle="1" w:styleId="DR-Corpsdetexte1">
    <w:name w:val="DR - Corps de texte 1"/>
    <w:uiPriority w:val="3"/>
    <w:qFormat/>
    <w:rsid w:val="007419CF"/>
    <w:pPr>
      <w:spacing w:after="120" w:line="260" w:lineRule="atLeast"/>
      <w:jc w:val="both"/>
    </w:pPr>
    <w:rPr>
      <w:rFonts w:ascii="Tahoma" w:hAnsi="Tahoma"/>
      <w:lang w:val="fr-FR" w:eastAsia="fr-FR"/>
    </w:rPr>
  </w:style>
  <w:style w:type="paragraph" w:customStyle="1" w:styleId="DR-Corpsdetexte2">
    <w:name w:val="DR - Corps de texte 2"/>
    <w:qFormat/>
    <w:rsid w:val="007419CF"/>
    <w:pPr>
      <w:spacing w:after="120" w:line="260" w:lineRule="atLeast"/>
      <w:jc w:val="both"/>
    </w:pPr>
    <w:rPr>
      <w:rFonts w:ascii="Tahoma" w:hAnsi="Tahoma"/>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es.ben-rayana@engi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ares.ben-rayana@engi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00F4-1B07-48BD-A1EF-EBB1A70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2</TotalTime>
  <Pages>1</Pages>
  <Words>263</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1712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LI1150</cp:lastModifiedBy>
  <cp:revision>3</cp:revision>
  <cp:lastPrinted>2015-08-31T03:45:00Z</cp:lastPrinted>
  <dcterms:created xsi:type="dcterms:W3CDTF">2016-02-29T00:04:00Z</dcterms:created>
  <dcterms:modified xsi:type="dcterms:W3CDTF">2016-02-29T00:58:00Z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