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5D4D" w14:textId="2EC38A52" w:rsidR="005F2C46" w:rsidRDefault="00A408AE" w:rsidP="00A408AE">
      <w:pPr>
        <w:pStyle w:val="a5"/>
      </w:pPr>
      <w:r>
        <w:rPr>
          <w:rFonts w:hint="eastAsia"/>
          <w:lang w:eastAsia="zh-TW"/>
        </w:rPr>
        <w:t xml:space="preserve">Quality </w:t>
      </w:r>
      <w:r w:rsidR="008D4022"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ssurance and stability of High pressure calibration facility</w:t>
      </w:r>
    </w:p>
    <w:p w14:paraId="65743AB9" w14:textId="104E6B16" w:rsidR="00A408AE" w:rsidRDefault="00254BC2" w:rsidP="008D4022">
      <w:pPr>
        <w:jc w:val="center"/>
        <w:rPr>
          <w:rFonts w:hint="eastAsia"/>
          <w:i/>
          <w:sz w:val="20"/>
          <w:lang w:eastAsia="zh-TW"/>
        </w:rPr>
      </w:pPr>
      <w:r>
        <w:rPr>
          <w:rFonts w:hint="eastAsia"/>
          <w:b/>
          <w:lang w:eastAsia="zh-TW"/>
        </w:rPr>
        <w:t>Jen-</w:t>
      </w:r>
      <w:proofErr w:type="spellStart"/>
      <w:r>
        <w:rPr>
          <w:rFonts w:hint="eastAsia"/>
          <w:b/>
          <w:lang w:eastAsia="zh-TW"/>
        </w:rPr>
        <w:t>Tsung</w:t>
      </w:r>
      <w:proofErr w:type="spellEnd"/>
      <w:r>
        <w:rPr>
          <w:rFonts w:hint="eastAsia"/>
          <w:b/>
          <w:lang w:eastAsia="zh-TW"/>
        </w:rPr>
        <w:t xml:space="preserve"> Luo, </w:t>
      </w:r>
      <w:r w:rsidR="00A408AE" w:rsidRPr="00A408AE">
        <w:rPr>
          <w:rFonts w:hint="eastAsia"/>
          <w:b/>
          <w:lang w:eastAsia="zh-TW"/>
        </w:rPr>
        <w:t>Tsai-</w:t>
      </w:r>
      <w:proofErr w:type="spellStart"/>
      <w:r w:rsidR="00A408AE" w:rsidRPr="00A408AE">
        <w:rPr>
          <w:rFonts w:hint="eastAsia"/>
          <w:b/>
          <w:lang w:eastAsia="zh-TW"/>
        </w:rPr>
        <w:t>wang</w:t>
      </w:r>
      <w:proofErr w:type="spellEnd"/>
      <w:r w:rsidR="00A408AE" w:rsidRPr="00A408AE">
        <w:rPr>
          <w:rFonts w:hint="eastAsia"/>
          <w:b/>
          <w:lang w:eastAsia="zh-TW"/>
        </w:rPr>
        <w:t xml:space="preserve"> Huang</w:t>
      </w:r>
      <w:r w:rsidR="00A408AE">
        <w:rPr>
          <w:rFonts w:hint="eastAsia"/>
          <w:b/>
          <w:lang w:eastAsia="zh-TW"/>
        </w:rPr>
        <w:t xml:space="preserve">, </w:t>
      </w:r>
      <w:r w:rsidR="008D4022" w:rsidRPr="00A408AE">
        <w:rPr>
          <w:rFonts w:hint="eastAsia"/>
          <w:b/>
          <w:lang w:eastAsia="zh-TW"/>
        </w:rPr>
        <w:t>Chung-Bang Chen</w:t>
      </w:r>
      <w:r w:rsidR="008D4022">
        <w:rPr>
          <w:rFonts w:hint="eastAsia"/>
          <w:b/>
          <w:lang w:eastAsia="zh-TW"/>
        </w:rPr>
        <w:t xml:space="preserve">, </w:t>
      </w:r>
      <w:r>
        <w:rPr>
          <w:rFonts w:hint="eastAsia"/>
          <w:b/>
          <w:lang w:eastAsia="zh-TW"/>
        </w:rPr>
        <w:t>Hsueh-Ping Hsu, Chung-Yung Chen</w:t>
      </w:r>
    </w:p>
    <w:p w14:paraId="36FDBF1F" w14:textId="77777777" w:rsidR="00A408AE" w:rsidRDefault="00A408AE" w:rsidP="00A408AE">
      <w:pPr>
        <w:ind w:leftChars="-50" w:left="-20" w:hangingChars="50" w:hanging="100"/>
        <w:jc w:val="center"/>
        <w:rPr>
          <w:rFonts w:hint="eastAsia"/>
          <w:i/>
          <w:sz w:val="20"/>
          <w:lang w:eastAsia="zh-TW"/>
        </w:rPr>
      </w:pPr>
    </w:p>
    <w:p w14:paraId="254CAD0F" w14:textId="1881BDB0" w:rsidR="00A408AE" w:rsidRPr="00A408AE" w:rsidRDefault="00A408AE" w:rsidP="00A408AE">
      <w:pPr>
        <w:ind w:leftChars="-50" w:left="-20" w:hangingChars="50" w:hanging="100"/>
        <w:jc w:val="center"/>
        <w:rPr>
          <w:rFonts w:hint="eastAsia"/>
          <w:i/>
          <w:sz w:val="20"/>
        </w:rPr>
      </w:pPr>
      <w:r w:rsidRPr="00A408AE">
        <w:rPr>
          <w:i/>
          <w:sz w:val="20"/>
        </w:rPr>
        <w:t xml:space="preserve">Chinese </w:t>
      </w:r>
      <w:r w:rsidR="008D4022">
        <w:rPr>
          <w:rFonts w:hint="eastAsia"/>
          <w:i/>
          <w:sz w:val="20"/>
          <w:lang w:eastAsia="zh-TW"/>
        </w:rPr>
        <w:t xml:space="preserve">Petroleum </w:t>
      </w:r>
      <w:r w:rsidRPr="00A408AE">
        <w:rPr>
          <w:i/>
          <w:sz w:val="20"/>
        </w:rPr>
        <w:t xml:space="preserve">Corporation </w:t>
      </w:r>
      <w:proofErr w:type="gramStart"/>
      <w:r w:rsidR="008D4022">
        <w:rPr>
          <w:rFonts w:hint="eastAsia"/>
          <w:i/>
          <w:sz w:val="20"/>
          <w:lang w:eastAsia="zh-TW"/>
        </w:rPr>
        <w:t xml:space="preserve">Company </w:t>
      </w:r>
      <w:r w:rsidRPr="00A408AE">
        <w:rPr>
          <w:rFonts w:hint="eastAsia"/>
          <w:i/>
          <w:sz w:val="20"/>
        </w:rPr>
        <w:t xml:space="preserve"> </w:t>
      </w:r>
      <w:r w:rsidRPr="00A408AE">
        <w:rPr>
          <w:rFonts w:hint="eastAsia"/>
          <w:i/>
          <w:sz w:val="20"/>
        </w:rPr>
        <w:t>(</w:t>
      </w:r>
      <w:proofErr w:type="gramEnd"/>
      <w:r w:rsidRPr="00A408AE">
        <w:rPr>
          <w:rFonts w:hint="eastAsia"/>
          <w:i/>
          <w:sz w:val="20"/>
        </w:rPr>
        <w:t>CPC), Chia-</w:t>
      </w:r>
      <w:proofErr w:type="spellStart"/>
      <w:r w:rsidRPr="00A408AE">
        <w:rPr>
          <w:rFonts w:hint="eastAsia"/>
          <w:i/>
          <w:sz w:val="20"/>
        </w:rPr>
        <w:t>yi</w:t>
      </w:r>
      <w:proofErr w:type="spellEnd"/>
      <w:r w:rsidRPr="00A408AE">
        <w:rPr>
          <w:rFonts w:hint="eastAsia"/>
          <w:i/>
          <w:sz w:val="20"/>
        </w:rPr>
        <w:t>, Taiwan, ROC</w:t>
      </w:r>
    </w:p>
    <w:p w14:paraId="470D4AAA" w14:textId="0D80F140" w:rsidR="005F2C46" w:rsidRDefault="00A408AE" w:rsidP="00D13359">
      <w:pPr>
        <w:jc w:val="center"/>
        <w:rPr>
          <w:i/>
          <w:sz w:val="20"/>
        </w:rPr>
      </w:pPr>
      <w:r>
        <w:rPr>
          <w:rFonts w:hint="eastAsia"/>
          <w:i/>
          <w:sz w:val="20"/>
          <w:lang w:eastAsia="zh-TW"/>
        </w:rPr>
        <w:t>E</w:t>
      </w:r>
      <w:r w:rsidR="00D13359" w:rsidRPr="00D13359">
        <w:rPr>
          <w:i/>
          <w:sz w:val="20"/>
        </w:rPr>
        <w:t xml:space="preserve">-mail (corresponding author): </w:t>
      </w:r>
      <w:r>
        <w:rPr>
          <w:rFonts w:hint="eastAsia"/>
          <w:i/>
          <w:sz w:val="20"/>
          <w:lang w:eastAsia="zh-TW"/>
        </w:rPr>
        <w:t>078786@cpc.com.tw</w:t>
      </w:r>
    </w:p>
    <w:p w14:paraId="63F63D16" w14:textId="77777777" w:rsidR="005F2C46" w:rsidRDefault="00254BC2">
      <w:r>
        <w:pict w14:anchorId="3F975536">
          <v:rect id="_x0000_i1025" style="width:0;height:1.5pt" o:hralign="center" o:hrstd="t" o:hr="t" fillcolor="gray" stroked="f"/>
        </w:pict>
      </w:r>
    </w:p>
    <w:p w14:paraId="637E14BA" w14:textId="1B12563F" w:rsidR="00A408AE" w:rsidRPr="00A408AE" w:rsidRDefault="00A408AE" w:rsidP="00A408AE">
      <w:pPr>
        <w:pStyle w:val="a4"/>
        <w:ind w:firstLineChars="100" w:firstLine="240"/>
        <w:rPr>
          <w:rFonts w:hint="eastAsia"/>
          <w:sz w:val="24"/>
          <w:szCs w:val="24"/>
        </w:rPr>
      </w:pPr>
      <w:r w:rsidRPr="00A408AE">
        <w:rPr>
          <w:sz w:val="24"/>
          <w:szCs w:val="24"/>
        </w:rPr>
        <w:t xml:space="preserve">Chinese </w:t>
      </w:r>
      <w:r w:rsidR="008D4022">
        <w:rPr>
          <w:rFonts w:hint="eastAsia"/>
          <w:sz w:val="24"/>
          <w:szCs w:val="24"/>
          <w:lang w:eastAsia="zh-TW"/>
        </w:rPr>
        <w:t xml:space="preserve">Petroleum </w:t>
      </w:r>
      <w:r w:rsidRPr="00A408AE">
        <w:rPr>
          <w:sz w:val="24"/>
          <w:szCs w:val="24"/>
        </w:rPr>
        <w:t>Corporation Company</w:t>
      </w:r>
      <w:r w:rsidRPr="00A408AE">
        <w:rPr>
          <w:rFonts w:hint="eastAsia"/>
          <w:sz w:val="24"/>
          <w:szCs w:val="24"/>
        </w:rPr>
        <w:t xml:space="preserve"> (CPC) is the primary supplier of Nature Gas (NG) in Taiwan, and </w:t>
      </w:r>
      <w:r w:rsidRPr="00A408AE">
        <w:rPr>
          <w:sz w:val="24"/>
          <w:szCs w:val="24"/>
        </w:rPr>
        <w:t>the use of NG in 201</w:t>
      </w:r>
      <w:r w:rsidRPr="00A408AE">
        <w:rPr>
          <w:rFonts w:hint="eastAsia"/>
          <w:sz w:val="24"/>
          <w:szCs w:val="24"/>
        </w:rPr>
        <w:t>5</w:t>
      </w:r>
      <w:r w:rsidRPr="00A408AE">
        <w:rPr>
          <w:sz w:val="24"/>
          <w:szCs w:val="24"/>
        </w:rPr>
        <w:t xml:space="preserve"> is about </w:t>
      </w:r>
      <w:r w:rsidRPr="00A408AE">
        <w:rPr>
          <w:rFonts w:hint="eastAsia"/>
          <w:sz w:val="24"/>
          <w:szCs w:val="24"/>
        </w:rPr>
        <w:t>17</w:t>
      </w:r>
      <w:r w:rsidRPr="00A408AE">
        <w:rPr>
          <w:sz w:val="24"/>
          <w:szCs w:val="24"/>
        </w:rPr>
        <w:t xml:space="preserve"> billion cubic meters, and 80% is used as eclectic power generation fuel </w:t>
      </w:r>
      <w:r w:rsidRPr="00A408AE">
        <w:rPr>
          <w:rFonts w:hint="eastAsia"/>
          <w:sz w:val="24"/>
          <w:szCs w:val="24"/>
        </w:rPr>
        <w:t xml:space="preserve">to </w:t>
      </w:r>
      <w:r w:rsidRPr="00A408AE">
        <w:rPr>
          <w:sz w:val="24"/>
          <w:szCs w:val="24"/>
        </w:rPr>
        <w:t>replac</w:t>
      </w:r>
      <w:r w:rsidRPr="00A408AE">
        <w:rPr>
          <w:rFonts w:hint="eastAsia"/>
          <w:sz w:val="24"/>
          <w:szCs w:val="24"/>
        </w:rPr>
        <w:t>e</w:t>
      </w:r>
      <w:r w:rsidRPr="00A408AE">
        <w:rPr>
          <w:sz w:val="24"/>
          <w:szCs w:val="24"/>
        </w:rPr>
        <w:t xml:space="preserve"> tradition</w:t>
      </w:r>
      <w:r w:rsidRPr="00A408AE">
        <w:rPr>
          <w:rFonts w:hint="eastAsia"/>
          <w:sz w:val="24"/>
          <w:szCs w:val="24"/>
        </w:rPr>
        <w:t>al</w:t>
      </w:r>
      <w:r w:rsidRPr="00A408AE">
        <w:rPr>
          <w:sz w:val="24"/>
          <w:szCs w:val="24"/>
        </w:rPr>
        <w:t xml:space="preserve"> coil fuel and nuclear power. </w:t>
      </w:r>
      <w:r w:rsidRPr="00A408AE">
        <w:rPr>
          <w:rFonts w:hint="eastAsia"/>
          <w:sz w:val="24"/>
          <w:szCs w:val="24"/>
        </w:rPr>
        <w:t>T</w:t>
      </w:r>
      <w:r w:rsidRPr="00A408AE">
        <w:rPr>
          <w:sz w:val="24"/>
          <w:szCs w:val="24"/>
        </w:rPr>
        <w:t xml:space="preserve">o improve the </w:t>
      </w:r>
      <w:r>
        <w:rPr>
          <w:rFonts w:hint="eastAsia"/>
          <w:sz w:val="24"/>
          <w:szCs w:val="24"/>
          <w:lang w:eastAsia="zh-TW"/>
        </w:rPr>
        <w:t xml:space="preserve">accuracy and stability of </w:t>
      </w:r>
      <w:r w:rsidRPr="00A408AE">
        <w:rPr>
          <w:sz w:val="24"/>
          <w:szCs w:val="24"/>
        </w:rPr>
        <w:t>NG measurement</w:t>
      </w:r>
      <w:r>
        <w:rPr>
          <w:rFonts w:hint="eastAsia"/>
          <w:sz w:val="24"/>
          <w:szCs w:val="24"/>
          <w:lang w:eastAsia="zh-TW"/>
        </w:rPr>
        <w:t>, t</w:t>
      </w:r>
      <w:r w:rsidRPr="00A408AE">
        <w:rPr>
          <w:sz w:val="24"/>
          <w:szCs w:val="24"/>
        </w:rPr>
        <w:t xml:space="preserve">he measurement flowmeter for power generation is </w:t>
      </w:r>
      <w:r>
        <w:rPr>
          <w:rFonts w:hint="eastAsia"/>
          <w:sz w:val="24"/>
          <w:szCs w:val="24"/>
          <w:lang w:eastAsia="zh-TW"/>
        </w:rPr>
        <w:t xml:space="preserve">replaced </w:t>
      </w:r>
      <w:r w:rsidRPr="00A408AE">
        <w:rPr>
          <w:sz w:val="24"/>
          <w:szCs w:val="24"/>
        </w:rPr>
        <w:t xml:space="preserve">from traditional orifice flowmeter to multi path ultrasonic flowmeter (USM), </w:t>
      </w:r>
      <w:r w:rsidRPr="00A408AE">
        <w:rPr>
          <w:rFonts w:hint="eastAsia"/>
          <w:sz w:val="24"/>
          <w:szCs w:val="24"/>
        </w:rPr>
        <w:t xml:space="preserve">and these business meter is calibrated at RMRI gas flowmeter calibration laboratory </w:t>
      </w:r>
      <w:r>
        <w:rPr>
          <w:rFonts w:hint="eastAsia"/>
          <w:sz w:val="24"/>
          <w:szCs w:val="24"/>
          <w:lang w:eastAsia="zh-TW"/>
        </w:rPr>
        <w:t xml:space="preserve">which </w:t>
      </w:r>
      <w:r w:rsidRPr="00A408AE">
        <w:rPr>
          <w:rFonts w:hint="eastAsia"/>
          <w:sz w:val="24"/>
          <w:szCs w:val="24"/>
        </w:rPr>
        <w:t>us</w:t>
      </w: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e</w:t>
      </w:r>
      <w:r w:rsidRPr="00A408AE">
        <w:rPr>
          <w:rFonts w:hint="eastAsia"/>
          <w:sz w:val="24"/>
          <w:szCs w:val="24"/>
        </w:rPr>
        <w:t xml:space="preserve"> air as working flow, the calibration system is a close loop system with pressure from 10-60 bar and flowrate is from 100-4000m</w:t>
      </w:r>
      <w:r w:rsidRPr="00A408AE">
        <w:rPr>
          <w:rFonts w:hint="eastAsia"/>
          <w:sz w:val="24"/>
          <w:szCs w:val="24"/>
          <w:vertAlign w:val="superscript"/>
        </w:rPr>
        <w:t>3</w:t>
      </w:r>
      <w:r w:rsidRPr="00A408AE">
        <w:rPr>
          <w:rFonts w:hint="eastAsia"/>
          <w:sz w:val="24"/>
          <w:szCs w:val="24"/>
        </w:rPr>
        <w:t xml:space="preserve">/h. To ensure the high accuracy and excellent long terms stability of system, the uncertainty is necessary to be </w:t>
      </w:r>
      <w:r w:rsidRPr="00A408AE">
        <w:rPr>
          <w:sz w:val="24"/>
          <w:szCs w:val="24"/>
        </w:rPr>
        <w:t>calculated</w:t>
      </w:r>
      <w:r w:rsidRPr="00A408AE">
        <w:rPr>
          <w:rFonts w:hint="eastAsia"/>
          <w:sz w:val="24"/>
          <w:szCs w:val="24"/>
        </w:rPr>
        <w:t xml:space="preserve">. We use a USM calibrated at </w:t>
      </w:r>
      <w:proofErr w:type="spellStart"/>
      <w:r w:rsidRPr="00A408AE">
        <w:rPr>
          <w:rFonts w:hint="eastAsia"/>
          <w:sz w:val="24"/>
          <w:szCs w:val="24"/>
        </w:rPr>
        <w:t>Pigsar</w:t>
      </w:r>
      <w:proofErr w:type="spellEnd"/>
      <w:r w:rsidRPr="00A408AE">
        <w:rPr>
          <w:rFonts w:hint="eastAsia"/>
          <w:sz w:val="24"/>
          <w:szCs w:val="24"/>
        </w:rPr>
        <w:t xml:space="preserve"> Laboratory (Germany) as transfer meter to cal</w:t>
      </w:r>
      <w:r>
        <w:rPr>
          <w:rFonts w:hint="eastAsia"/>
          <w:sz w:val="24"/>
          <w:szCs w:val="24"/>
        </w:rPr>
        <w:t xml:space="preserve">ibrate 4 working standard meter and </w:t>
      </w:r>
      <w:r>
        <w:rPr>
          <w:rFonts w:hint="eastAsia"/>
          <w:sz w:val="24"/>
          <w:szCs w:val="24"/>
          <w:lang w:eastAsia="zh-TW"/>
        </w:rPr>
        <w:t>u</w:t>
      </w:r>
      <w:r w:rsidRPr="00A408AE">
        <w:rPr>
          <w:rFonts w:hint="eastAsia"/>
          <w:sz w:val="24"/>
          <w:szCs w:val="24"/>
        </w:rPr>
        <w:t xml:space="preserve">se a turbine meter </w:t>
      </w:r>
      <w:r w:rsidRPr="00A408AE">
        <w:rPr>
          <w:sz w:val="24"/>
          <w:szCs w:val="24"/>
        </w:rPr>
        <w:t>which</w:t>
      </w:r>
      <w:r w:rsidRPr="00A408AE">
        <w:rPr>
          <w:rFonts w:hint="eastAsia"/>
          <w:sz w:val="24"/>
          <w:szCs w:val="24"/>
        </w:rPr>
        <w:t xml:space="preserve"> was calibrated at Taiwan NMI as checking meter to ensure the result. </w:t>
      </w:r>
      <w:r w:rsidRPr="00A408AE">
        <w:rPr>
          <w:sz w:val="24"/>
          <w:szCs w:val="24"/>
        </w:rPr>
        <w:t>T</w:t>
      </w:r>
      <w:r w:rsidRPr="00A408AE">
        <w:rPr>
          <w:rFonts w:hint="eastAsia"/>
          <w:sz w:val="24"/>
          <w:szCs w:val="24"/>
        </w:rPr>
        <w:t>his paper describes the uncertainty calculation including N</w:t>
      </w:r>
      <w:r w:rsidRPr="00A408AE">
        <w:rPr>
          <w:rFonts w:hint="eastAsia"/>
          <w:sz w:val="24"/>
          <w:szCs w:val="24"/>
          <w:vertAlign w:val="subscript"/>
        </w:rPr>
        <w:t>s</w:t>
      </w:r>
      <w:r w:rsidRPr="00A408AE">
        <w:rPr>
          <w:rFonts w:hint="eastAsia"/>
          <w:sz w:val="24"/>
          <w:szCs w:val="24"/>
        </w:rPr>
        <w:t>, N</w:t>
      </w:r>
      <w:r w:rsidRPr="00A408AE">
        <w:rPr>
          <w:rFonts w:hint="eastAsia"/>
          <w:sz w:val="24"/>
          <w:szCs w:val="24"/>
          <w:vertAlign w:val="subscript"/>
        </w:rPr>
        <w:t>m</w:t>
      </w:r>
      <w:r w:rsidRPr="00A408AE">
        <w:rPr>
          <w:rFonts w:hint="eastAsia"/>
          <w:sz w:val="24"/>
          <w:szCs w:val="24"/>
        </w:rPr>
        <w:t>, M</w:t>
      </w:r>
      <w:r w:rsidRPr="00A408AE">
        <w:rPr>
          <w:rFonts w:hint="eastAsia"/>
          <w:sz w:val="24"/>
          <w:szCs w:val="24"/>
          <w:vertAlign w:val="subscript"/>
        </w:rPr>
        <w:t>F</w:t>
      </w:r>
      <w:r w:rsidRPr="00A408AE">
        <w:rPr>
          <w:rFonts w:hint="eastAsia"/>
          <w:sz w:val="24"/>
          <w:szCs w:val="24"/>
        </w:rPr>
        <w:t>, C</w:t>
      </w:r>
      <w:r w:rsidRPr="00A408AE">
        <w:rPr>
          <w:rFonts w:hint="eastAsia"/>
          <w:sz w:val="24"/>
          <w:szCs w:val="24"/>
          <w:vertAlign w:val="subscript"/>
        </w:rPr>
        <w:t>P</w:t>
      </w:r>
      <w:r w:rsidRPr="00A408AE">
        <w:rPr>
          <w:rFonts w:hint="eastAsia"/>
          <w:sz w:val="24"/>
          <w:szCs w:val="24"/>
        </w:rPr>
        <w:t>, C</w:t>
      </w:r>
      <w:r w:rsidRPr="00A408AE">
        <w:rPr>
          <w:rFonts w:hint="eastAsia"/>
          <w:sz w:val="24"/>
          <w:szCs w:val="24"/>
          <w:vertAlign w:val="subscript"/>
        </w:rPr>
        <w:t>T</w:t>
      </w:r>
      <w:r w:rsidRPr="00A408AE">
        <w:rPr>
          <w:rFonts w:hint="eastAsia"/>
          <w:sz w:val="24"/>
          <w:szCs w:val="24"/>
        </w:rPr>
        <w:t xml:space="preserve">, </w:t>
      </w:r>
      <w:proofErr w:type="spellStart"/>
      <w:proofErr w:type="gramStart"/>
      <w:r w:rsidRPr="00A408AE">
        <w:rPr>
          <w:rFonts w:hint="eastAsia"/>
          <w:sz w:val="24"/>
          <w:szCs w:val="24"/>
        </w:rPr>
        <w:t>C</w:t>
      </w:r>
      <w:r w:rsidRPr="00A408AE">
        <w:rPr>
          <w:rFonts w:hint="eastAsia"/>
          <w:sz w:val="24"/>
          <w:szCs w:val="24"/>
          <w:vertAlign w:val="subscript"/>
        </w:rPr>
        <w:t>z</w:t>
      </w:r>
      <w:proofErr w:type="spellEnd"/>
      <w:proofErr w:type="gramEnd"/>
      <w:r w:rsidRPr="00A408AE">
        <w:rPr>
          <w:rFonts w:hint="eastAsia"/>
          <w:sz w:val="24"/>
          <w:szCs w:val="24"/>
        </w:rPr>
        <w:t xml:space="preserve">. The uncertainty error is most come from </w:t>
      </w:r>
      <w:proofErr w:type="gramStart"/>
      <w:r w:rsidRPr="00A408AE">
        <w:rPr>
          <w:rFonts w:hint="eastAsia"/>
          <w:sz w:val="24"/>
          <w:szCs w:val="24"/>
        </w:rPr>
        <w:t>MF(</w:t>
      </w:r>
      <w:proofErr w:type="gramEnd"/>
      <w:r w:rsidRPr="00A408AE">
        <w:rPr>
          <w:rFonts w:hint="eastAsia"/>
          <w:sz w:val="24"/>
          <w:szCs w:val="24"/>
        </w:rPr>
        <w:t xml:space="preserve">meter factor) which including calibration trace, </w:t>
      </w:r>
      <w:r w:rsidRPr="00A408AE">
        <w:rPr>
          <w:sz w:val="24"/>
          <w:szCs w:val="24"/>
        </w:rPr>
        <w:t>repeatability</w:t>
      </w:r>
      <w:r w:rsidRPr="00A408AE">
        <w:rPr>
          <w:rFonts w:hint="eastAsia"/>
          <w:sz w:val="24"/>
          <w:szCs w:val="24"/>
        </w:rPr>
        <w:t xml:space="preserve">, pressure effect </w:t>
      </w:r>
      <w:r>
        <w:rPr>
          <w:rFonts w:hint="eastAsia"/>
          <w:sz w:val="24"/>
          <w:szCs w:val="24"/>
          <w:lang w:eastAsia="zh-TW"/>
        </w:rPr>
        <w:t xml:space="preserve">, numerous </w:t>
      </w:r>
      <w:r w:rsidRPr="00A408AE">
        <w:rPr>
          <w:sz w:val="24"/>
          <w:szCs w:val="24"/>
        </w:rPr>
        <w:t>regulation</w:t>
      </w:r>
      <w:r w:rsidRPr="00A408AE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  <w:lang w:eastAsia="zh-TW"/>
        </w:rPr>
        <w:t xml:space="preserve">and </w:t>
      </w:r>
      <w:r w:rsidRPr="00A408AE">
        <w:rPr>
          <w:rFonts w:hint="eastAsia"/>
          <w:sz w:val="24"/>
          <w:szCs w:val="24"/>
        </w:rPr>
        <w:t xml:space="preserve">long term stability. </w:t>
      </w:r>
    </w:p>
    <w:p w14:paraId="24EADA8D" w14:textId="77777777" w:rsidR="00A408AE" w:rsidRDefault="00A408AE" w:rsidP="00737D34">
      <w:pPr>
        <w:jc w:val="both"/>
        <w:rPr>
          <w:rFonts w:hint="eastAsia"/>
          <w:szCs w:val="24"/>
          <w:lang w:eastAsia="zh-TW"/>
        </w:rPr>
      </w:pPr>
    </w:p>
    <w:p w14:paraId="34DE7C2F" w14:textId="7A9D7F67" w:rsidR="00EA6110" w:rsidRDefault="00254BC2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a4"/>
        <w:tabs>
          <w:tab w:val="center" w:pos="2268"/>
          <w:tab w:val="right" w:pos="4536"/>
        </w:tabs>
      </w:pPr>
    </w:p>
    <w:p w14:paraId="3F2CE5E3" w14:textId="77777777" w:rsidR="00C7675A" w:rsidRDefault="00C7675A">
      <w:pPr>
        <w:pStyle w:val="a4"/>
        <w:rPr>
          <w:rFonts w:hint="eastAsia"/>
          <w:lang w:eastAsia="zh-TW"/>
        </w:rPr>
      </w:pPr>
    </w:p>
    <w:sectPr w:rsidR="00C7675A" w:rsidSect="00254BC2">
      <w:footerReference w:type="default" r:id="rId10"/>
      <w:type w:val="continuous"/>
      <w:pgSz w:w="11906" w:h="16838"/>
      <w:pgMar w:top="1134" w:right="1077" w:bottom="1134" w:left="1077" w:header="720" w:footer="720" w:gutter="0"/>
      <w:cols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DB31" w14:textId="77777777" w:rsidR="00143D46" w:rsidRDefault="00143D46" w:rsidP="00B370F7">
      <w:r>
        <w:separator/>
      </w:r>
    </w:p>
  </w:endnote>
  <w:endnote w:type="continuationSeparator" w:id="0">
    <w:p w14:paraId="6070F897" w14:textId="77777777" w:rsidR="00143D46" w:rsidRDefault="00143D46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143D46" w:rsidRPr="00B370F7" w:rsidRDefault="00143D46" w:rsidP="005C07BE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7D4606">
      <w:rPr>
        <w:noProof/>
        <w:sz w:val="20"/>
      </w:rPr>
      <w:t>1</w:t>
    </w:r>
    <w:r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143D46" w:rsidRPr="00250D41" w:rsidRDefault="00143D46" w:rsidP="00250D41">
    <w:pPr>
      <w:pStyle w:val="aa"/>
      <w:tabs>
        <w:tab w:val="right" w:pos="9781"/>
      </w:tabs>
      <w:rPr>
        <w:sz w:val="20"/>
      </w:rPr>
    </w:pPr>
  </w:p>
  <w:p w14:paraId="26D01AF2" w14:textId="3A542BB4" w:rsidR="00143D46" w:rsidRPr="00B370F7" w:rsidRDefault="00143D46" w:rsidP="00250D41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 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A408AE">
      <w:rPr>
        <w:noProof/>
        <w:sz w:val="20"/>
      </w:rPr>
      <w:t>2</w:t>
    </w:r>
    <w:r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97190" w14:textId="77777777" w:rsidR="00143D46" w:rsidRDefault="00143D46" w:rsidP="00B370F7">
      <w:r>
        <w:separator/>
      </w:r>
    </w:p>
  </w:footnote>
  <w:footnote w:type="continuationSeparator" w:id="0">
    <w:p w14:paraId="60EBF683" w14:textId="77777777" w:rsidR="00143D46" w:rsidRDefault="00143D46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43D46"/>
    <w:rsid w:val="00250D41"/>
    <w:rsid w:val="00254BC2"/>
    <w:rsid w:val="002A73B9"/>
    <w:rsid w:val="003C0BF7"/>
    <w:rsid w:val="003D6491"/>
    <w:rsid w:val="00481C7F"/>
    <w:rsid w:val="005912E1"/>
    <w:rsid w:val="005B3B20"/>
    <w:rsid w:val="005C07BE"/>
    <w:rsid w:val="005F2C46"/>
    <w:rsid w:val="006248F6"/>
    <w:rsid w:val="00641DAC"/>
    <w:rsid w:val="00657F17"/>
    <w:rsid w:val="006F12BB"/>
    <w:rsid w:val="00737D34"/>
    <w:rsid w:val="007D4606"/>
    <w:rsid w:val="007D499A"/>
    <w:rsid w:val="007F73B3"/>
    <w:rsid w:val="00807BEF"/>
    <w:rsid w:val="00815774"/>
    <w:rsid w:val="00825F28"/>
    <w:rsid w:val="008357DD"/>
    <w:rsid w:val="008B29EC"/>
    <w:rsid w:val="008B4239"/>
    <w:rsid w:val="008D4022"/>
    <w:rsid w:val="00905079"/>
    <w:rsid w:val="00A0063B"/>
    <w:rsid w:val="00A12E51"/>
    <w:rsid w:val="00A217DA"/>
    <w:rsid w:val="00A408AE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E2A1A"/>
    <w:rsid w:val="00C7675A"/>
    <w:rsid w:val="00D0073E"/>
    <w:rsid w:val="00D13359"/>
    <w:rsid w:val="00EA611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a9"/>
    <w:rsid w:val="00B370F7"/>
    <w:pPr>
      <w:tabs>
        <w:tab w:val="center" w:pos="4513"/>
        <w:tab w:val="right" w:pos="9026"/>
      </w:tabs>
    </w:pPr>
  </w:style>
  <w:style w:type="character" w:customStyle="1" w:styleId="a9">
    <w:name w:val="頁首 字元"/>
    <w:link w:val="a8"/>
    <w:rsid w:val="00B370F7"/>
    <w:rPr>
      <w:sz w:val="24"/>
      <w:lang w:val="en-AU" w:eastAsia="en-GB"/>
    </w:rPr>
  </w:style>
  <w:style w:type="paragraph" w:styleId="aa">
    <w:name w:val="footer"/>
    <w:basedOn w:val="a"/>
    <w:link w:val="ab"/>
    <w:rsid w:val="00B370F7"/>
    <w:pPr>
      <w:tabs>
        <w:tab w:val="center" w:pos="4513"/>
        <w:tab w:val="right" w:pos="9026"/>
      </w:tabs>
    </w:pPr>
  </w:style>
  <w:style w:type="character" w:customStyle="1" w:styleId="ab">
    <w:name w:val="頁尾 字元"/>
    <w:link w:val="aa"/>
    <w:rsid w:val="00B370F7"/>
    <w:rPr>
      <w:sz w:val="24"/>
      <w:lang w:val="en-AU" w:eastAsia="en-GB"/>
    </w:rPr>
  </w:style>
  <w:style w:type="paragraph" w:styleId="ac">
    <w:name w:val="Balloon Text"/>
    <w:basedOn w:val="a"/>
    <w:link w:val="ad"/>
    <w:rsid w:val="00250D41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e">
    <w:name w:val="Placeholder Text"/>
    <w:basedOn w:val="a0"/>
    <w:uiPriority w:val="99"/>
    <w:semiHidden/>
    <w:rsid w:val="00250D41"/>
    <w:rPr>
      <w:color w:val="808080"/>
    </w:rPr>
  </w:style>
  <w:style w:type="character" w:styleId="af">
    <w:name w:val="Hyperlink"/>
    <w:basedOn w:val="a0"/>
    <w:rsid w:val="00250D41"/>
    <w:rPr>
      <w:color w:val="0000FF" w:themeColor="hyperlink"/>
      <w:u w:val="single"/>
    </w:rPr>
  </w:style>
  <w:style w:type="character" w:styleId="af0">
    <w:name w:val="FollowedHyperlink"/>
    <w:basedOn w:val="a0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a9"/>
    <w:rsid w:val="00B370F7"/>
    <w:pPr>
      <w:tabs>
        <w:tab w:val="center" w:pos="4513"/>
        <w:tab w:val="right" w:pos="9026"/>
      </w:tabs>
    </w:pPr>
  </w:style>
  <w:style w:type="character" w:customStyle="1" w:styleId="a9">
    <w:name w:val="頁首 字元"/>
    <w:link w:val="a8"/>
    <w:rsid w:val="00B370F7"/>
    <w:rPr>
      <w:sz w:val="24"/>
      <w:lang w:val="en-AU" w:eastAsia="en-GB"/>
    </w:rPr>
  </w:style>
  <w:style w:type="paragraph" w:styleId="aa">
    <w:name w:val="footer"/>
    <w:basedOn w:val="a"/>
    <w:link w:val="ab"/>
    <w:rsid w:val="00B370F7"/>
    <w:pPr>
      <w:tabs>
        <w:tab w:val="center" w:pos="4513"/>
        <w:tab w:val="right" w:pos="9026"/>
      </w:tabs>
    </w:pPr>
  </w:style>
  <w:style w:type="character" w:customStyle="1" w:styleId="ab">
    <w:name w:val="頁尾 字元"/>
    <w:link w:val="aa"/>
    <w:rsid w:val="00B370F7"/>
    <w:rPr>
      <w:sz w:val="24"/>
      <w:lang w:val="en-AU" w:eastAsia="en-GB"/>
    </w:rPr>
  </w:style>
  <w:style w:type="paragraph" w:styleId="ac">
    <w:name w:val="Balloon Text"/>
    <w:basedOn w:val="a"/>
    <w:link w:val="ad"/>
    <w:rsid w:val="00250D41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e">
    <w:name w:val="Placeholder Text"/>
    <w:basedOn w:val="a0"/>
    <w:uiPriority w:val="99"/>
    <w:semiHidden/>
    <w:rsid w:val="00250D41"/>
    <w:rPr>
      <w:color w:val="808080"/>
    </w:rPr>
  </w:style>
  <w:style w:type="character" w:styleId="af">
    <w:name w:val="Hyperlink"/>
    <w:basedOn w:val="a0"/>
    <w:rsid w:val="00250D41"/>
    <w:rPr>
      <w:color w:val="0000FF" w:themeColor="hyperlink"/>
      <w:u w:val="single"/>
    </w:rPr>
  </w:style>
  <w:style w:type="character" w:styleId="af0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5D47-104A-41F4-B9C7-376E77F2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1</TotalTime>
  <Pages>1</Pages>
  <Words>230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蘇耿弘</cp:lastModifiedBy>
  <cp:revision>3</cp:revision>
  <cp:lastPrinted>2015-08-31T03:45:00Z</cp:lastPrinted>
  <dcterms:created xsi:type="dcterms:W3CDTF">2016-03-01T09:46:00Z</dcterms:created>
  <dcterms:modified xsi:type="dcterms:W3CDTF">2016-03-01T09:47:00Z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