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3C2" w:rsidRDefault="00AA23C2" w:rsidP="003528D3">
      <w:pPr>
        <w:pStyle w:val="Titel"/>
      </w:pPr>
      <w:r>
        <w:t>Laboratory inter-comparison measurements</w:t>
      </w:r>
    </w:p>
    <w:p w:rsidR="00AA23C2" w:rsidRPr="00CD13A9" w:rsidRDefault="00AA23C2" w:rsidP="003528D3">
      <w:pPr>
        <w:pStyle w:val="Titel"/>
        <w:rPr>
          <w:sz w:val="32"/>
          <w:szCs w:val="32"/>
        </w:rPr>
      </w:pPr>
      <w:r>
        <w:t>- Means of proving traceability in liquid flow metering</w:t>
      </w:r>
      <w:r>
        <w:br/>
      </w:r>
    </w:p>
    <w:p w:rsidR="00AA23C2" w:rsidRPr="00D13359" w:rsidRDefault="00AA23C2" w:rsidP="00D13359">
      <w:pPr>
        <w:pStyle w:val="Textkrper"/>
        <w:jc w:val="center"/>
        <w:rPr>
          <w:b/>
          <w:sz w:val="24"/>
        </w:rPr>
      </w:pPr>
      <w:r>
        <w:rPr>
          <w:b/>
          <w:sz w:val="24"/>
        </w:rPr>
        <w:t>R. Engel</w:t>
      </w:r>
      <w:r w:rsidR="0048108B" w:rsidRPr="0048108B">
        <w:rPr>
          <w:b/>
          <w:sz w:val="24"/>
          <w:vertAlign w:val="superscript"/>
        </w:rPr>
        <w:t>*)</w:t>
      </w:r>
    </w:p>
    <w:p w:rsidR="00AA23C2" w:rsidRDefault="00AA23C2">
      <w:pPr>
        <w:jc w:val="center"/>
        <w:rPr>
          <w:i/>
          <w:sz w:val="22"/>
        </w:rPr>
      </w:pPr>
    </w:p>
    <w:p w:rsidR="00AA23C2" w:rsidRPr="00D13359" w:rsidRDefault="00AA23C2" w:rsidP="00D13359">
      <w:pPr>
        <w:jc w:val="center"/>
        <w:rPr>
          <w:i/>
          <w:sz w:val="20"/>
        </w:rPr>
      </w:pPr>
      <w:r>
        <w:rPr>
          <w:i/>
          <w:sz w:val="20"/>
        </w:rPr>
        <w:t>Consulting Engineer and independent researcher</w:t>
      </w:r>
      <w:r w:rsidRPr="00D13359">
        <w:rPr>
          <w:i/>
          <w:sz w:val="20"/>
        </w:rPr>
        <w:t>,</w:t>
      </w:r>
      <w:r>
        <w:rPr>
          <w:i/>
          <w:sz w:val="20"/>
        </w:rPr>
        <w:t xml:space="preserve"> </w:t>
      </w:r>
      <w:hyperlink r:id="rId7" w:history="1">
        <w:r w:rsidRPr="00833569">
          <w:rPr>
            <w:rStyle w:val="Hyperlink"/>
            <w:i/>
            <w:color w:val="auto"/>
            <w:sz w:val="20"/>
            <w:u w:val="none"/>
          </w:rPr>
          <w:t>drrengel@t-online.de,</w:t>
        </w:r>
        <w:r>
          <w:rPr>
            <w:rStyle w:val="Hyperlink"/>
            <w:i/>
            <w:color w:val="auto"/>
            <w:sz w:val="20"/>
            <w:u w:val="none"/>
          </w:rPr>
          <w:t xml:space="preserve"> </w:t>
        </w:r>
        <w:proofErr w:type="spellStart"/>
        <w:r w:rsidRPr="00833569">
          <w:rPr>
            <w:rStyle w:val="Hyperlink"/>
            <w:i/>
            <w:color w:val="auto"/>
            <w:sz w:val="20"/>
            <w:u w:val="none"/>
          </w:rPr>
          <w:t>Braunschweig</w:t>
        </w:r>
        <w:proofErr w:type="spellEnd"/>
      </w:hyperlink>
      <w:r w:rsidRPr="00D13359">
        <w:rPr>
          <w:i/>
          <w:sz w:val="20"/>
        </w:rPr>
        <w:t>,</w:t>
      </w:r>
      <w:r>
        <w:rPr>
          <w:i/>
          <w:sz w:val="20"/>
        </w:rPr>
        <w:t xml:space="preserve"> </w:t>
      </w:r>
      <w:smartTag w:uri="urn:schemas-microsoft-com:office:smarttags" w:element="country-region">
        <w:r>
          <w:rPr>
            <w:i/>
            <w:sz w:val="20"/>
          </w:rPr>
          <w:t>Germany</w:t>
        </w:r>
      </w:smartTag>
    </w:p>
    <w:p w:rsidR="00AA23C2" w:rsidRDefault="00AA23C2">
      <w:pPr>
        <w:rPr>
          <w:i/>
          <w:sz w:val="20"/>
          <w:vertAlign w:val="superscript"/>
        </w:rPr>
      </w:pPr>
    </w:p>
    <w:p w:rsidR="00AA23C2" w:rsidRDefault="006228A7">
      <w:r>
        <w:pict>
          <v:rect id="_x0000_i1025" style="width:0;height:1.5pt" o:hralign="center" o:hrstd="t" o:hr="t" fillcolor="gray" stroked="f"/>
        </w:pict>
      </w:r>
    </w:p>
    <w:p w:rsidR="00AA23C2" w:rsidRDefault="007D24CF" w:rsidP="00BA381F">
      <w:pPr>
        <w:spacing w:after="120"/>
        <w:jc w:val="both"/>
        <w:rPr>
          <w:szCs w:val="24"/>
        </w:rPr>
      </w:pPr>
      <w:r>
        <w:rPr>
          <w:szCs w:val="24"/>
        </w:rPr>
        <w:t>Traceability in liquid flow</w:t>
      </w:r>
      <w:r w:rsidR="00AA23C2">
        <w:rPr>
          <w:szCs w:val="24"/>
        </w:rPr>
        <w:t xml:space="preserve"> </w:t>
      </w:r>
      <w:r w:rsidR="00986195">
        <w:rPr>
          <w:szCs w:val="24"/>
        </w:rPr>
        <w:t>–</w:t>
      </w:r>
      <w:r w:rsidR="00AA23C2">
        <w:rPr>
          <w:szCs w:val="24"/>
        </w:rPr>
        <w:t xml:space="preserve"> or</w:t>
      </w:r>
      <w:r w:rsidR="00986195">
        <w:rPr>
          <w:szCs w:val="24"/>
        </w:rPr>
        <w:t xml:space="preserve"> in</w:t>
      </w:r>
      <w:r w:rsidR="00AA23C2">
        <w:rPr>
          <w:szCs w:val="24"/>
        </w:rPr>
        <w:t xml:space="preserve"> fluid flow in general – means component traceability through the measurement quantities mass or volume, fluid density, fluid temperature as well as the period of time of measurement. This is the state of the art and it represents the measurement process in flow calibration</w:t>
      </w:r>
      <w:r w:rsidR="008E72B4">
        <w:rPr>
          <w:szCs w:val="24"/>
        </w:rPr>
        <w:t>,</w:t>
      </w:r>
      <w:r w:rsidR="00AA23C2">
        <w:rPr>
          <w:szCs w:val="24"/>
        </w:rPr>
        <w:t xml:space="preserve"> which, generally, </w:t>
      </w:r>
      <w:r w:rsidR="008E72B4">
        <w:rPr>
          <w:szCs w:val="24"/>
        </w:rPr>
        <w:t>relies</w:t>
      </w:r>
      <w:r w:rsidR="00AA23C2">
        <w:rPr>
          <w:szCs w:val="24"/>
        </w:rPr>
        <w:t xml:space="preserve"> on the assumption that the whole process</w:t>
      </w:r>
      <w:r w:rsidR="00986195">
        <w:rPr>
          <w:szCs w:val="24"/>
        </w:rPr>
        <w:t xml:space="preserve"> is run</w:t>
      </w:r>
      <w:r w:rsidR="00AA23C2">
        <w:rPr>
          <w:szCs w:val="24"/>
        </w:rPr>
        <w:t xml:space="preserve"> on steady-state conditions. As it </w:t>
      </w:r>
      <w:r w:rsidR="008E72B4">
        <w:rPr>
          <w:szCs w:val="24"/>
        </w:rPr>
        <w:t>was</w:t>
      </w:r>
      <w:r>
        <w:rPr>
          <w:szCs w:val="24"/>
        </w:rPr>
        <w:t xml:space="preserve"> shown in</w:t>
      </w:r>
      <w:r w:rsidR="008E72B4">
        <w:rPr>
          <w:szCs w:val="24"/>
        </w:rPr>
        <w:t xml:space="preserve"> an</w:t>
      </w:r>
      <w:r>
        <w:rPr>
          <w:szCs w:val="24"/>
        </w:rPr>
        <w:t xml:space="preserve"> earlier publication</w:t>
      </w:r>
      <w:r w:rsidR="00691709">
        <w:rPr>
          <w:szCs w:val="24"/>
        </w:rPr>
        <w:t xml:space="preserve"> [1]</w:t>
      </w:r>
      <w:r w:rsidR="00AA23C2">
        <w:rPr>
          <w:szCs w:val="24"/>
        </w:rPr>
        <w:t xml:space="preserve">, dynamic effects, i.e. random-like fluctuations in the liquid </w:t>
      </w:r>
      <w:proofErr w:type="spellStart"/>
      <w:r w:rsidR="00AA23C2">
        <w:rPr>
          <w:szCs w:val="24"/>
        </w:rPr>
        <w:t>flowrate</w:t>
      </w:r>
      <w:proofErr w:type="spellEnd"/>
      <w:r w:rsidR="00AA23C2">
        <w:rPr>
          <w:szCs w:val="24"/>
        </w:rPr>
        <w:t>, cause an impact on the measurement uncertainty.</w:t>
      </w:r>
    </w:p>
    <w:p w:rsidR="00AA23C2" w:rsidRDefault="00AA23C2" w:rsidP="00BA381F">
      <w:pPr>
        <w:spacing w:after="120"/>
        <w:jc w:val="both"/>
        <w:rPr>
          <w:szCs w:val="24"/>
        </w:rPr>
      </w:pPr>
      <w:r>
        <w:rPr>
          <w:szCs w:val="24"/>
        </w:rPr>
        <w:t xml:space="preserve">Other sources of uncertainty result from the installation conditions of the transfer </w:t>
      </w:r>
      <w:proofErr w:type="spellStart"/>
      <w:r>
        <w:rPr>
          <w:szCs w:val="24"/>
        </w:rPr>
        <w:t>flowmeters</w:t>
      </w:r>
      <w:proofErr w:type="spellEnd"/>
      <w:r>
        <w:rPr>
          <w:szCs w:val="24"/>
        </w:rPr>
        <w:t xml:space="preserve">. </w:t>
      </w:r>
    </w:p>
    <w:p w:rsidR="008E72B4" w:rsidRDefault="008E72B4" w:rsidP="00BA381F">
      <w:pPr>
        <w:spacing w:after="120"/>
        <w:jc w:val="both"/>
        <w:rPr>
          <w:szCs w:val="24"/>
        </w:rPr>
      </w:pPr>
    </w:p>
    <w:p w:rsidR="008E72B4" w:rsidRDefault="006228A7" w:rsidP="008E72B4">
      <w:pPr>
        <w:spacing w:after="120"/>
        <w:jc w:val="center"/>
        <w:rPr>
          <w:szCs w:val="24"/>
        </w:rPr>
      </w:pPr>
      <w:r w:rsidRPr="006228A7">
        <w:rPr>
          <w:szCs w:val="24"/>
        </w:rPr>
      </w:r>
      <w:r>
        <w:rPr>
          <w:szCs w:val="24"/>
        </w:rPr>
        <w:pict>
          <v:shapetype id="_x0000_t202" coordsize="21600,21600" o:spt="202" path="m,l,21600r21600,l21600,xe">
            <v:stroke joinstyle="miter"/>
            <v:path gradientshapeok="t" o:connecttype="rect"/>
          </v:shapetype>
          <v:shape id="_x0000_s1027" type="#_x0000_t202" style="width:371.95pt;height:429.75pt;mso-position-horizontal-relative:char;mso-position-vertical-relative:line" strokecolor="#969696">
            <v:textbox style="mso-next-textbox:#_x0000_s1027">
              <w:txbxContent>
                <w:p w:rsidR="008E72B4" w:rsidRPr="00135987" w:rsidRDefault="008E72B4" w:rsidP="008E72B4">
                  <w:pPr>
                    <w:jc w:val="center"/>
                    <w:rPr>
                      <w:sz w:val="18"/>
                      <w:szCs w:val="18"/>
                    </w:rPr>
                  </w:pPr>
                  <w:r>
                    <w:rPr>
                      <w:noProof/>
                      <w:sz w:val="18"/>
                      <w:szCs w:val="18"/>
                      <w:lang w:val="de-DE" w:eastAsia="de-DE"/>
                    </w:rPr>
                    <w:drawing>
                      <wp:inline distT="0" distB="0" distL="0" distR="0">
                        <wp:extent cx="2774950" cy="1119505"/>
                        <wp:effectExtent l="19050" t="0" r="6350" b="0"/>
                        <wp:docPr id="7" name="Bild 49" descr="Figure_02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Figure_02_A"/>
                                <pic:cNvPicPr>
                                  <a:picLocks noChangeAspect="1" noChangeArrowheads="1"/>
                                </pic:cNvPicPr>
                              </pic:nvPicPr>
                              <pic:blipFill>
                                <a:blip r:embed="rId8"/>
                                <a:srcRect/>
                                <a:stretch>
                                  <a:fillRect/>
                                </a:stretch>
                              </pic:blipFill>
                              <pic:spPr bwMode="auto">
                                <a:xfrm>
                                  <a:off x="0" y="0"/>
                                  <a:ext cx="2774950" cy="1119505"/>
                                </a:xfrm>
                                <a:prstGeom prst="rect">
                                  <a:avLst/>
                                </a:prstGeom>
                                <a:noFill/>
                                <a:ln w="9525">
                                  <a:noFill/>
                                  <a:miter lim="800000"/>
                                  <a:headEnd/>
                                  <a:tailEnd/>
                                </a:ln>
                              </pic:spPr>
                            </pic:pic>
                          </a:graphicData>
                        </a:graphic>
                      </wp:inline>
                    </w:drawing>
                  </w:r>
                </w:p>
                <w:p w:rsidR="008E72B4" w:rsidRPr="00135987" w:rsidRDefault="008E72B4" w:rsidP="008E72B4">
                  <w:pPr>
                    <w:ind w:left="708" w:firstLine="708"/>
                    <w:rPr>
                      <w:b/>
                      <w:i/>
                      <w:sz w:val="18"/>
                      <w:szCs w:val="18"/>
                    </w:rPr>
                  </w:pPr>
                  <w:r w:rsidRPr="00135987">
                    <w:rPr>
                      <w:b/>
                      <w:i/>
                      <w:sz w:val="18"/>
                      <w:szCs w:val="18"/>
                    </w:rPr>
                    <w:t>a)</w:t>
                  </w:r>
                </w:p>
                <w:p w:rsidR="008E72B4" w:rsidRPr="00135987" w:rsidRDefault="008E72B4" w:rsidP="008E72B4">
                  <w:pPr>
                    <w:rPr>
                      <w:b/>
                      <w:i/>
                      <w:sz w:val="18"/>
                      <w:szCs w:val="18"/>
                    </w:rPr>
                  </w:pPr>
                </w:p>
                <w:p w:rsidR="008E72B4" w:rsidRPr="00135987" w:rsidRDefault="008E72B4" w:rsidP="008E72B4">
                  <w:pPr>
                    <w:jc w:val="center"/>
                    <w:rPr>
                      <w:i/>
                      <w:sz w:val="18"/>
                      <w:szCs w:val="18"/>
                    </w:rPr>
                  </w:pPr>
                  <w:r>
                    <w:rPr>
                      <w:i/>
                      <w:noProof/>
                      <w:sz w:val="18"/>
                      <w:szCs w:val="18"/>
                      <w:lang w:val="de-DE" w:eastAsia="de-DE"/>
                    </w:rPr>
                    <w:drawing>
                      <wp:inline distT="0" distB="0" distL="0" distR="0">
                        <wp:extent cx="2869565" cy="1261110"/>
                        <wp:effectExtent l="19050" t="0" r="6985" b="0"/>
                        <wp:docPr id="8" name="Bild 50" descr="Figure_02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Figure_02_B"/>
                                <pic:cNvPicPr>
                                  <a:picLocks noChangeAspect="1" noChangeArrowheads="1"/>
                                </pic:cNvPicPr>
                              </pic:nvPicPr>
                              <pic:blipFill>
                                <a:blip r:embed="rId9"/>
                                <a:srcRect/>
                                <a:stretch>
                                  <a:fillRect/>
                                </a:stretch>
                              </pic:blipFill>
                              <pic:spPr bwMode="auto">
                                <a:xfrm>
                                  <a:off x="0" y="0"/>
                                  <a:ext cx="2869565" cy="1261110"/>
                                </a:xfrm>
                                <a:prstGeom prst="rect">
                                  <a:avLst/>
                                </a:prstGeom>
                                <a:noFill/>
                                <a:ln w="9525">
                                  <a:noFill/>
                                  <a:miter lim="800000"/>
                                  <a:headEnd/>
                                  <a:tailEnd/>
                                </a:ln>
                              </pic:spPr>
                            </pic:pic>
                          </a:graphicData>
                        </a:graphic>
                      </wp:inline>
                    </w:drawing>
                  </w:r>
                </w:p>
                <w:p w:rsidR="008E72B4" w:rsidRPr="00135987" w:rsidRDefault="008E72B4" w:rsidP="008E72B4">
                  <w:pPr>
                    <w:ind w:left="426" w:firstLine="708"/>
                    <w:rPr>
                      <w:b/>
                      <w:i/>
                      <w:sz w:val="18"/>
                      <w:szCs w:val="18"/>
                      <w:lang w:val="en-US"/>
                    </w:rPr>
                  </w:pPr>
                  <w:r w:rsidRPr="00135987">
                    <w:rPr>
                      <w:b/>
                      <w:i/>
                      <w:sz w:val="18"/>
                      <w:szCs w:val="18"/>
                      <w:lang w:val="en-US"/>
                    </w:rPr>
                    <w:t>b)</w:t>
                  </w:r>
                </w:p>
                <w:p w:rsidR="008E72B4" w:rsidRPr="00135987" w:rsidRDefault="008E72B4" w:rsidP="008E72B4">
                  <w:pPr>
                    <w:rPr>
                      <w:i/>
                      <w:sz w:val="18"/>
                      <w:szCs w:val="18"/>
                      <w:lang w:val="en-US"/>
                    </w:rPr>
                  </w:pPr>
                </w:p>
                <w:p w:rsidR="008E72B4" w:rsidRDefault="008E72B4" w:rsidP="008E72B4">
                  <w:pPr>
                    <w:tabs>
                      <w:tab w:val="left" w:pos="1134"/>
                    </w:tabs>
                    <w:ind w:left="1134" w:hanging="1134"/>
                    <w:rPr>
                      <w:i/>
                      <w:sz w:val="18"/>
                      <w:szCs w:val="18"/>
                      <w:lang w:val="en-US"/>
                    </w:rPr>
                  </w:pPr>
                  <w:r w:rsidRPr="00135987">
                    <w:rPr>
                      <w:b/>
                      <w:i/>
                      <w:sz w:val="18"/>
                      <w:szCs w:val="18"/>
                      <w:lang w:val="en-US"/>
                    </w:rPr>
                    <w:t>Figure </w:t>
                  </w:r>
                  <w:r>
                    <w:rPr>
                      <w:b/>
                      <w:i/>
                      <w:sz w:val="18"/>
                      <w:szCs w:val="18"/>
                      <w:lang w:val="en-US"/>
                    </w:rPr>
                    <w:t>1</w:t>
                  </w:r>
                  <w:r w:rsidRPr="00135987">
                    <w:rPr>
                      <w:b/>
                      <w:i/>
                      <w:sz w:val="18"/>
                      <w:szCs w:val="18"/>
                      <w:lang w:val="en-US"/>
                    </w:rPr>
                    <w:t>:</w:t>
                  </w:r>
                  <w:r w:rsidRPr="00135987">
                    <w:rPr>
                      <w:i/>
                      <w:sz w:val="18"/>
                      <w:szCs w:val="18"/>
                      <w:lang w:val="en-US"/>
                    </w:rPr>
                    <w:tab/>
                  </w:r>
                  <w:r w:rsidRPr="008B7FA0">
                    <w:rPr>
                      <w:b/>
                      <w:i/>
                      <w:sz w:val="18"/>
                      <w:szCs w:val="18"/>
                      <w:lang w:val="en-US"/>
                    </w:rPr>
                    <w:t xml:space="preserve">Sets of comparison transfer </w:t>
                  </w:r>
                  <w:proofErr w:type="spellStart"/>
                  <w:r w:rsidRPr="008B7FA0">
                    <w:rPr>
                      <w:b/>
                      <w:i/>
                      <w:sz w:val="18"/>
                      <w:szCs w:val="18"/>
                      <w:lang w:val="en-US"/>
                    </w:rPr>
                    <w:t>flowmeters</w:t>
                  </w:r>
                  <w:proofErr w:type="spellEnd"/>
                  <w:r w:rsidRPr="008B7FA0">
                    <w:rPr>
                      <w:b/>
                      <w:i/>
                      <w:sz w:val="18"/>
                      <w:szCs w:val="18"/>
                      <w:lang w:val="en-US"/>
                    </w:rPr>
                    <w:t>:</w:t>
                  </w:r>
                </w:p>
                <w:p w:rsidR="008E72B4" w:rsidRPr="00135987" w:rsidRDefault="008E72B4" w:rsidP="008E72B4">
                  <w:pPr>
                    <w:tabs>
                      <w:tab w:val="left" w:pos="1134"/>
                    </w:tabs>
                    <w:ind w:left="1134" w:hanging="1134"/>
                    <w:rPr>
                      <w:i/>
                      <w:sz w:val="18"/>
                      <w:szCs w:val="18"/>
                      <w:lang w:val="en-US"/>
                    </w:rPr>
                  </w:pPr>
                  <w:r>
                    <w:rPr>
                      <w:b/>
                      <w:i/>
                      <w:sz w:val="18"/>
                      <w:szCs w:val="18"/>
                      <w:lang w:val="en-US"/>
                    </w:rPr>
                    <w:tab/>
                    <w:t>-</w:t>
                  </w:r>
                  <w:r>
                    <w:rPr>
                      <w:i/>
                      <w:sz w:val="18"/>
                      <w:szCs w:val="18"/>
                      <w:lang w:val="en-US"/>
                    </w:rPr>
                    <w:t xml:space="preserve"> </w:t>
                  </w:r>
                  <w:r w:rsidRPr="00135987">
                    <w:rPr>
                      <w:i/>
                      <w:sz w:val="18"/>
                      <w:szCs w:val="18"/>
                      <w:lang w:val="en-US"/>
                    </w:rPr>
                    <w:t xml:space="preserve">Combination of a </w:t>
                  </w:r>
                  <w:proofErr w:type="spellStart"/>
                  <w:r w:rsidRPr="00135987">
                    <w:rPr>
                      <w:i/>
                      <w:sz w:val="18"/>
                      <w:szCs w:val="18"/>
                      <w:lang w:val="en-US"/>
                    </w:rPr>
                    <w:t>Coriolis</w:t>
                  </w:r>
                  <w:proofErr w:type="spellEnd"/>
                  <w:r w:rsidRPr="00135987">
                    <w:rPr>
                      <w:i/>
                      <w:sz w:val="18"/>
                      <w:szCs w:val="18"/>
                      <w:lang w:val="en-US"/>
                    </w:rPr>
                    <w:t xml:space="preserve"> and a turbine </w:t>
                  </w:r>
                  <w:proofErr w:type="spellStart"/>
                  <w:r w:rsidRPr="00135987">
                    <w:rPr>
                      <w:i/>
                      <w:sz w:val="18"/>
                      <w:szCs w:val="18"/>
                      <w:lang w:val="en-US"/>
                    </w:rPr>
                    <w:t>flowmeter</w:t>
                  </w:r>
                  <w:proofErr w:type="spellEnd"/>
                </w:p>
                <w:p w:rsidR="008E72B4" w:rsidRPr="00135987" w:rsidRDefault="008E72B4" w:rsidP="008E72B4">
                  <w:pPr>
                    <w:tabs>
                      <w:tab w:val="left" w:pos="1134"/>
                    </w:tabs>
                    <w:rPr>
                      <w:i/>
                      <w:sz w:val="18"/>
                      <w:szCs w:val="18"/>
                      <w:lang w:val="en-US"/>
                    </w:rPr>
                  </w:pPr>
                  <w:r w:rsidRPr="00135987">
                    <w:rPr>
                      <w:i/>
                      <w:sz w:val="18"/>
                      <w:szCs w:val="18"/>
                      <w:lang w:val="en-US"/>
                    </w:rPr>
                    <w:tab/>
                  </w:r>
                  <w:r w:rsidRPr="00551D5F">
                    <w:rPr>
                      <w:b/>
                      <w:i/>
                      <w:sz w:val="18"/>
                      <w:szCs w:val="18"/>
                      <w:lang w:val="en-US"/>
                    </w:rPr>
                    <w:t>a)</w:t>
                  </w:r>
                  <w:r w:rsidRPr="00551D5F">
                    <w:rPr>
                      <w:b/>
                      <w:i/>
                      <w:sz w:val="18"/>
                      <w:szCs w:val="18"/>
                      <w:lang w:val="en-US"/>
                    </w:rPr>
                    <w:tab/>
                    <w:t>Sample installation DN100</w:t>
                  </w:r>
                  <w:r w:rsidRPr="00135987">
                    <w:rPr>
                      <w:i/>
                      <w:sz w:val="18"/>
                      <w:szCs w:val="18"/>
                      <w:lang w:val="en-US"/>
                    </w:rPr>
                    <w:t xml:space="preserve">: applied with Key Comparison </w:t>
                  </w:r>
                  <w:r w:rsidRPr="00135987">
                    <w:rPr>
                      <w:b/>
                      <w:i/>
                      <w:sz w:val="18"/>
                      <w:szCs w:val="18"/>
                      <w:lang w:val="en-US"/>
                    </w:rPr>
                    <w:t>CCM.FF-K1.2015</w:t>
                  </w:r>
                </w:p>
                <w:p w:rsidR="008E72B4" w:rsidRPr="00135987" w:rsidRDefault="008E72B4" w:rsidP="008E72B4">
                  <w:pPr>
                    <w:tabs>
                      <w:tab w:val="left" w:pos="1134"/>
                    </w:tabs>
                    <w:rPr>
                      <w:i/>
                      <w:sz w:val="18"/>
                      <w:szCs w:val="18"/>
                      <w:lang w:val="en-US"/>
                    </w:rPr>
                  </w:pPr>
                  <w:r w:rsidRPr="00135987">
                    <w:rPr>
                      <w:i/>
                      <w:sz w:val="18"/>
                      <w:szCs w:val="18"/>
                      <w:lang w:val="en-US"/>
                    </w:rPr>
                    <w:tab/>
                  </w:r>
                  <w:r w:rsidRPr="00551D5F">
                    <w:rPr>
                      <w:b/>
                      <w:i/>
                      <w:sz w:val="18"/>
                      <w:szCs w:val="18"/>
                      <w:lang w:val="en-US"/>
                    </w:rPr>
                    <w:t>b)</w:t>
                  </w:r>
                  <w:r w:rsidRPr="00551D5F">
                    <w:rPr>
                      <w:b/>
                      <w:i/>
                      <w:sz w:val="18"/>
                      <w:szCs w:val="18"/>
                      <w:lang w:val="en-US"/>
                    </w:rPr>
                    <w:tab/>
                    <w:t>Sample installation DN80</w:t>
                  </w:r>
                  <w:r w:rsidRPr="00135987">
                    <w:rPr>
                      <w:i/>
                      <w:sz w:val="18"/>
                      <w:szCs w:val="18"/>
                      <w:lang w:val="en-US"/>
                    </w:rPr>
                    <w:t xml:space="preserve">: applied with SIM Comparison </w:t>
                  </w:r>
                  <w:r w:rsidRPr="00135987">
                    <w:rPr>
                      <w:b/>
                      <w:i/>
                      <w:sz w:val="18"/>
                      <w:szCs w:val="18"/>
                      <w:lang w:val="en-US"/>
                    </w:rPr>
                    <w:t>SIM.M.FF-S9</w:t>
                  </w:r>
                </w:p>
                <w:p w:rsidR="008E72B4" w:rsidRPr="00135987" w:rsidRDefault="008E72B4" w:rsidP="008E72B4">
                  <w:pPr>
                    <w:tabs>
                      <w:tab w:val="left" w:pos="1134"/>
                      <w:tab w:val="left" w:pos="1440"/>
                      <w:tab w:val="left" w:pos="1980"/>
                    </w:tabs>
                    <w:rPr>
                      <w:i/>
                      <w:sz w:val="18"/>
                      <w:szCs w:val="18"/>
                      <w:lang w:val="en-US"/>
                    </w:rPr>
                  </w:pPr>
                </w:p>
                <w:p w:rsidR="008E72B4" w:rsidRPr="00135987" w:rsidRDefault="008E72B4" w:rsidP="008E72B4">
                  <w:pPr>
                    <w:tabs>
                      <w:tab w:val="left" w:pos="1134"/>
                      <w:tab w:val="left" w:pos="1440"/>
                      <w:tab w:val="left" w:pos="1980"/>
                    </w:tabs>
                    <w:ind w:left="1980" w:hanging="1980"/>
                    <w:rPr>
                      <w:i/>
                      <w:sz w:val="18"/>
                      <w:szCs w:val="18"/>
                      <w:lang w:val="en-US"/>
                    </w:rPr>
                  </w:pPr>
                  <w:r w:rsidRPr="00135987">
                    <w:rPr>
                      <w:i/>
                      <w:sz w:val="18"/>
                      <w:szCs w:val="18"/>
                      <w:lang w:val="en-US"/>
                    </w:rPr>
                    <w:tab/>
                  </w:r>
                  <w:r w:rsidRPr="00135987">
                    <w:rPr>
                      <w:i/>
                      <w:sz w:val="18"/>
                      <w:szCs w:val="18"/>
                      <w:lang w:val="en-US"/>
                    </w:rPr>
                    <w:tab/>
                    <w:t>(1)</w:t>
                  </w:r>
                  <w:r w:rsidRPr="00135987">
                    <w:rPr>
                      <w:i/>
                      <w:sz w:val="18"/>
                      <w:szCs w:val="18"/>
                      <w:lang w:val="en-US"/>
                    </w:rPr>
                    <w:tab/>
                    <w:t>Inlet pipe section (adaptable to both ANSI and DIN flange connections)</w:t>
                  </w:r>
                </w:p>
                <w:p w:rsidR="008E72B4" w:rsidRPr="00135987" w:rsidRDefault="008E72B4" w:rsidP="008E72B4">
                  <w:pPr>
                    <w:tabs>
                      <w:tab w:val="left" w:pos="1134"/>
                      <w:tab w:val="left" w:pos="1440"/>
                      <w:tab w:val="left" w:pos="1980"/>
                    </w:tabs>
                    <w:rPr>
                      <w:i/>
                      <w:sz w:val="18"/>
                      <w:szCs w:val="18"/>
                      <w:lang w:val="en-US"/>
                    </w:rPr>
                  </w:pPr>
                  <w:r w:rsidRPr="00135987">
                    <w:rPr>
                      <w:i/>
                      <w:sz w:val="18"/>
                      <w:szCs w:val="18"/>
                      <w:lang w:val="en-US"/>
                    </w:rPr>
                    <w:tab/>
                  </w:r>
                  <w:r w:rsidRPr="00135987">
                    <w:rPr>
                      <w:i/>
                      <w:sz w:val="18"/>
                      <w:szCs w:val="18"/>
                      <w:lang w:val="en-US"/>
                    </w:rPr>
                    <w:tab/>
                    <w:t>(2)</w:t>
                  </w:r>
                  <w:r w:rsidRPr="00135987">
                    <w:rPr>
                      <w:i/>
                      <w:sz w:val="18"/>
                      <w:szCs w:val="18"/>
                      <w:lang w:val="en-US"/>
                    </w:rPr>
                    <w:tab/>
                    <w:t>Turbine meter</w:t>
                  </w:r>
                </w:p>
                <w:p w:rsidR="008E72B4" w:rsidRPr="00135987" w:rsidRDefault="008E72B4" w:rsidP="008E72B4">
                  <w:pPr>
                    <w:tabs>
                      <w:tab w:val="left" w:pos="1134"/>
                      <w:tab w:val="left" w:pos="1440"/>
                      <w:tab w:val="left" w:pos="1980"/>
                    </w:tabs>
                    <w:rPr>
                      <w:i/>
                      <w:sz w:val="18"/>
                      <w:szCs w:val="18"/>
                      <w:lang w:val="en-US"/>
                    </w:rPr>
                  </w:pPr>
                  <w:r w:rsidRPr="00135987">
                    <w:rPr>
                      <w:i/>
                      <w:sz w:val="18"/>
                      <w:szCs w:val="18"/>
                      <w:lang w:val="en-US"/>
                    </w:rPr>
                    <w:tab/>
                  </w:r>
                  <w:r w:rsidRPr="00135987">
                    <w:rPr>
                      <w:i/>
                      <w:sz w:val="18"/>
                      <w:szCs w:val="18"/>
                      <w:lang w:val="en-US"/>
                    </w:rPr>
                    <w:tab/>
                    <w:t>(2a)</w:t>
                  </w:r>
                  <w:r w:rsidRPr="00135987">
                    <w:rPr>
                      <w:i/>
                      <w:sz w:val="18"/>
                      <w:szCs w:val="18"/>
                      <w:lang w:val="en-US"/>
                    </w:rPr>
                    <w:tab/>
                    <w:t>Tube-bundle flow conditioner dedicated to the turbine</w:t>
                  </w:r>
                </w:p>
                <w:p w:rsidR="008E72B4" w:rsidRPr="00135987" w:rsidRDefault="008E72B4" w:rsidP="008E72B4">
                  <w:pPr>
                    <w:numPr>
                      <w:ilvl w:val="0"/>
                      <w:numId w:val="6"/>
                    </w:numPr>
                    <w:tabs>
                      <w:tab w:val="left" w:pos="1134"/>
                      <w:tab w:val="left" w:pos="1440"/>
                    </w:tabs>
                    <w:rPr>
                      <w:i/>
                      <w:sz w:val="18"/>
                      <w:szCs w:val="18"/>
                      <w:lang w:val="en-US"/>
                    </w:rPr>
                  </w:pPr>
                  <w:r w:rsidRPr="00135987">
                    <w:rPr>
                      <w:i/>
                      <w:sz w:val="18"/>
                      <w:szCs w:val="18"/>
                      <w:lang w:val="en-US"/>
                    </w:rPr>
                    <w:t>Connecting pipe section with</w:t>
                  </w:r>
                </w:p>
                <w:p w:rsidR="008E72B4" w:rsidRPr="00135987" w:rsidRDefault="008E72B4" w:rsidP="008E72B4">
                  <w:pPr>
                    <w:tabs>
                      <w:tab w:val="left" w:pos="1134"/>
                      <w:tab w:val="left" w:pos="1440"/>
                      <w:tab w:val="left" w:pos="1980"/>
                    </w:tabs>
                    <w:ind w:left="1440"/>
                    <w:rPr>
                      <w:i/>
                      <w:sz w:val="18"/>
                      <w:szCs w:val="18"/>
                      <w:lang w:val="en-US"/>
                    </w:rPr>
                  </w:pPr>
                  <w:r w:rsidRPr="00135987">
                    <w:rPr>
                      <w:i/>
                      <w:sz w:val="18"/>
                      <w:szCs w:val="18"/>
                      <w:lang w:val="en-US"/>
                    </w:rPr>
                    <w:t>(3a)</w:t>
                  </w:r>
                  <w:r w:rsidRPr="00135987">
                    <w:rPr>
                      <w:i/>
                      <w:sz w:val="18"/>
                      <w:szCs w:val="18"/>
                      <w:lang w:val="en-US"/>
                    </w:rPr>
                    <w:tab/>
                    <w:t>Integrated tube-bundle flow conditioner</w:t>
                  </w:r>
                </w:p>
                <w:p w:rsidR="008E72B4" w:rsidRPr="00135987" w:rsidRDefault="008E72B4" w:rsidP="008E72B4">
                  <w:pPr>
                    <w:tabs>
                      <w:tab w:val="left" w:pos="1134"/>
                      <w:tab w:val="left" w:pos="1440"/>
                      <w:tab w:val="left" w:pos="1980"/>
                    </w:tabs>
                    <w:ind w:left="1440"/>
                    <w:rPr>
                      <w:i/>
                      <w:sz w:val="18"/>
                      <w:szCs w:val="18"/>
                      <w:lang w:val="en-US"/>
                    </w:rPr>
                  </w:pPr>
                  <w:r w:rsidRPr="00135987">
                    <w:rPr>
                      <w:i/>
                      <w:sz w:val="18"/>
                      <w:szCs w:val="18"/>
                      <w:lang w:val="en-US"/>
                    </w:rPr>
                    <w:t>(4)</w:t>
                  </w:r>
                  <w:r w:rsidRPr="00135987">
                    <w:rPr>
                      <w:i/>
                      <w:sz w:val="18"/>
                      <w:szCs w:val="18"/>
                      <w:lang w:val="en-US"/>
                    </w:rPr>
                    <w:tab/>
                  </w:r>
                  <w:proofErr w:type="spellStart"/>
                  <w:r w:rsidRPr="00135987">
                    <w:rPr>
                      <w:i/>
                      <w:sz w:val="18"/>
                      <w:szCs w:val="18"/>
                      <w:lang w:val="en-US"/>
                    </w:rPr>
                    <w:t>Coriolis</w:t>
                  </w:r>
                  <w:proofErr w:type="spellEnd"/>
                  <w:r w:rsidRPr="00135987">
                    <w:rPr>
                      <w:i/>
                      <w:sz w:val="18"/>
                      <w:szCs w:val="18"/>
                      <w:lang w:val="en-US"/>
                    </w:rPr>
                    <w:t xml:space="preserve"> </w:t>
                  </w:r>
                  <w:proofErr w:type="spellStart"/>
                  <w:r w:rsidRPr="00135987">
                    <w:rPr>
                      <w:i/>
                      <w:sz w:val="18"/>
                      <w:szCs w:val="18"/>
                      <w:lang w:val="en-US"/>
                    </w:rPr>
                    <w:t>flowmeter</w:t>
                  </w:r>
                  <w:proofErr w:type="spellEnd"/>
                </w:p>
                <w:p w:rsidR="008E72B4" w:rsidRPr="00135987" w:rsidRDefault="008E72B4" w:rsidP="008E72B4">
                  <w:pPr>
                    <w:tabs>
                      <w:tab w:val="left" w:pos="1134"/>
                      <w:tab w:val="left" w:pos="1440"/>
                      <w:tab w:val="left" w:pos="1980"/>
                    </w:tabs>
                    <w:ind w:left="1980" w:hanging="1980"/>
                    <w:rPr>
                      <w:i/>
                      <w:sz w:val="18"/>
                      <w:szCs w:val="18"/>
                      <w:lang w:val="en-US"/>
                    </w:rPr>
                  </w:pPr>
                  <w:r w:rsidRPr="00135987">
                    <w:rPr>
                      <w:i/>
                      <w:sz w:val="18"/>
                      <w:szCs w:val="18"/>
                      <w:lang w:val="en-US"/>
                    </w:rPr>
                    <w:tab/>
                  </w:r>
                  <w:r w:rsidRPr="00135987">
                    <w:rPr>
                      <w:i/>
                      <w:sz w:val="18"/>
                      <w:szCs w:val="18"/>
                      <w:lang w:val="en-US"/>
                    </w:rPr>
                    <w:tab/>
                    <w:t>(5)</w:t>
                  </w:r>
                  <w:r w:rsidRPr="00135987">
                    <w:rPr>
                      <w:i/>
                      <w:sz w:val="18"/>
                      <w:szCs w:val="18"/>
                      <w:lang w:val="en-US"/>
                    </w:rPr>
                    <w:tab/>
                    <w:t>Outlet pipe section (adaptable to both ANSI and DIN flange connections)</w:t>
                  </w:r>
                </w:p>
                <w:p w:rsidR="008E72B4" w:rsidRPr="00135987" w:rsidRDefault="008E72B4" w:rsidP="008E72B4">
                  <w:pPr>
                    <w:tabs>
                      <w:tab w:val="left" w:pos="1134"/>
                      <w:tab w:val="left" w:pos="1440"/>
                      <w:tab w:val="left" w:pos="1980"/>
                    </w:tabs>
                    <w:ind w:left="1980" w:hanging="1980"/>
                    <w:rPr>
                      <w:b/>
                      <w:i/>
                      <w:sz w:val="18"/>
                      <w:szCs w:val="18"/>
                      <w:lang w:val="en-US"/>
                    </w:rPr>
                  </w:pPr>
                  <w:r w:rsidRPr="00135987">
                    <w:rPr>
                      <w:i/>
                      <w:sz w:val="18"/>
                      <w:szCs w:val="18"/>
                      <w:lang w:val="en-US"/>
                    </w:rPr>
                    <w:tab/>
                  </w:r>
                  <w:r w:rsidRPr="00135987">
                    <w:rPr>
                      <w:i/>
                      <w:sz w:val="18"/>
                      <w:szCs w:val="18"/>
                      <w:lang w:val="en-US"/>
                    </w:rPr>
                    <w:tab/>
                  </w:r>
                  <w:r w:rsidRPr="00135987">
                    <w:rPr>
                      <w:b/>
                      <w:i/>
                      <w:sz w:val="18"/>
                      <w:szCs w:val="18"/>
                      <w:lang w:val="en-US"/>
                    </w:rPr>
                    <w:t>Auxiliary devices:</w:t>
                  </w:r>
                </w:p>
                <w:p w:rsidR="008E72B4" w:rsidRPr="00135987" w:rsidRDefault="008E72B4" w:rsidP="008E72B4">
                  <w:pPr>
                    <w:tabs>
                      <w:tab w:val="left" w:pos="1134"/>
                      <w:tab w:val="left" w:pos="1440"/>
                      <w:tab w:val="left" w:pos="1980"/>
                    </w:tabs>
                    <w:ind w:left="1980" w:hanging="1980"/>
                    <w:rPr>
                      <w:i/>
                      <w:sz w:val="18"/>
                      <w:szCs w:val="18"/>
                      <w:lang w:val="en-US"/>
                    </w:rPr>
                  </w:pPr>
                  <w:r w:rsidRPr="00135987">
                    <w:rPr>
                      <w:i/>
                      <w:sz w:val="18"/>
                      <w:szCs w:val="18"/>
                      <w:lang w:val="en-US"/>
                    </w:rPr>
                    <w:tab/>
                  </w:r>
                  <w:r w:rsidRPr="00135987">
                    <w:rPr>
                      <w:i/>
                      <w:sz w:val="18"/>
                      <w:szCs w:val="18"/>
                      <w:lang w:val="en-US"/>
                    </w:rPr>
                    <w:tab/>
                    <w:t>(A1)</w:t>
                  </w:r>
                  <w:r w:rsidRPr="00135987">
                    <w:rPr>
                      <w:i/>
                      <w:sz w:val="18"/>
                      <w:szCs w:val="18"/>
                      <w:lang w:val="en-US"/>
                    </w:rPr>
                    <w:tab/>
                    <w:t>Pressure transmitter</w:t>
                  </w:r>
                </w:p>
                <w:p w:rsidR="008E72B4" w:rsidRPr="00135987" w:rsidRDefault="008E72B4" w:rsidP="008E72B4">
                  <w:pPr>
                    <w:tabs>
                      <w:tab w:val="left" w:pos="1134"/>
                      <w:tab w:val="left" w:pos="1440"/>
                      <w:tab w:val="left" w:pos="1980"/>
                    </w:tabs>
                    <w:ind w:left="1980" w:hanging="1980"/>
                    <w:rPr>
                      <w:i/>
                      <w:sz w:val="18"/>
                      <w:szCs w:val="18"/>
                      <w:lang w:val="en-US"/>
                    </w:rPr>
                  </w:pPr>
                  <w:r w:rsidRPr="00135987">
                    <w:rPr>
                      <w:i/>
                      <w:sz w:val="18"/>
                      <w:szCs w:val="18"/>
                      <w:lang w:val="en-US"/>
                    </w:rPr>
                    <w:tab/>
                  </w:r>
                  <w:r w:rsidRPr="00135987">
                    <w:rPr>
                      <w:i/>
                      <w:sz w:val="18"/>
                      <w:szCs w:val="18"/>
                      <w:lang w:val="en-US"/>
                    </w:rPr>
                    <w:tab/>
                    <w:t>(A2)</w:t>
                  </w:r>
                  <w:r w:rsidRPr="00135987">
                    <w:rPr>
                      <w:i/>
                      <w:sz w:val="18"/>
                      <w:szCs w:val="18"/>
                      <w:lang w:val="en-US"/>
                    </w:rPr>
                    <w:tab/>
                    <w:t>Temperature transmitter</w:t>
                  </w:r>
                </w:p>
                <w:p w:rsidR="008E72B4" w:rsidRPr="00135987" w:rsidRDefault="008E72B4" w:rsidP="008E72B4">
                  <w:pPr>
                    <w:tabs>
                      <w:tab w:val="left" w:pos="1134"/>
                      <w:tab w:val="left" w:pos="1440"/>
                      <w:tab w:val="left" w:pos="1980"/>
                    </w:tabs>
                    <w:ind w:left="1980" w:hanging="1980"/>
                    <w:rPr>
                      <w:i/>
                      <w:sz w:val="18"/>
                      <w:szCs w:val="18"/>
                      <w:lang w:val="en-US"/>
                    </w:rPr>
                  </w:pPr>
                  <w:r w:rsidRPr="00135987">
                    <w:rPr>
                      <w:i/>
                      <w:sz w:val="18"/>
                      <w:szCs w:val="18"/>
                      <w:lang w:val="en-US"/>
                    </w:rPr>
                    <w:tab/>
                  </w:r>
                  <w:r w:rsidRPr="00135987">
                    <w:rPr>
                      <w:i/>
                      <w:sz w:val="18"/>
                      <w:szCs w:val="18"/>
                      <w:lang w:val="en-US"/>
                    </w:rPr>
                    <w:tab/>
                    <w:t>(A3)</w:t>
                  </w:r>
                  <w:r w:rsidRPr="00135987">
                    <w:rPr>
                      <w:i/>
                      <w:sz w:val="18"/>
                      <w:szCs w:val="18"/>
                      <w:lang w:val="en-US"/>
                    </w:rPr>
                    <w:tab/>
                    <w:t>Differential pressure transmitter</w:t>
                  </w:r>
                </w:p>
                <w:p w:rsidR="008E72B4" w:rsidRPr="00135987" w:rsidRDefault="008E72B4" w:rsidP="008E72B4">
                  <w:pPr>
                    <w:tabs>
                      <w:tab w:val="left" w:pos="1134"/>
                      <w:tab w:val="left" w:pos="1440"/>
                      <w:tab w:val="left" w:pos="1980"/>
                    </w:tabs>
                    <w:rPr>
                      <w:i/>
                      <w:sz w:val="18"/>
                      <w:szCs w:val="18"/>
                      <w:lang w:val="en-US"/>
                    </w:rPr>
                  </w:pPr>
                </w:p>
              </w:txbxContent>
            </v:textbox>
            <w10:wrap type="none"/>
            <w10:anchorlock/>
          </v:shape>
        </w:pict>
      </w:r>
    </w:p>
    <w:p w:rsidR="00AA23C2" w:rsidRDefault="00AA23C2" w:rsidP="007964CE">
      <w:pPr>
        <w:spacing w:after="60"/>
        <w:jc w:val="both"/>
        <w:rPr>
          <w:szCs w:val="24"/>
        </w:rPr>
      </w:pPr>
      <w:r>
        <w:rPr>
          <w:szCs w:val="24"/>
        </w:rPr>
        <w:lastRenderedPageBreak/>
        <w:t>Thus, different sources of uncertainty in the traceability measurement chain have to be distinguished:</w:t>
      </w:r>
    </w:p>
    <w:p w:rsidR="00AA23C2" w:rsidRDefault="007D24CF" w:rsidP="000A36BB">
      <w:pPr>
        <w:tabs>
          <w:tab w:val="left" w:pos="360"/>
          <w:tab w:val="left" w:pos="600"/>
        </w:tabs>
        <w:spacing w:after="60"/>
        <w:ind w:right="821"/>
        <w:rPr>
          <w:szCs w:val="24"/>
        </w:rPr>
      </w:pPr>
      <w:r>
        <w:rPr>
          <w:szCs w:val="24"/>
        </w:rPr>
        <w:tab/>
        <w:t>-</w:t>
      </w:r>
      <w:r>
        <w:rPr>
          <w:szCs w:val="24"/>
        </w:rPr>
        <w:tab/>
        <w:t>E</w:t>
      </w:r>
      <w:r w:rsidR="00AA23C2">
        <w:rPr>
          <w:szCs w:val="24"/>
        </w:rPr>
        <w:t>ffects of reproducibility due to meter installation conditions;</w:t>
      </w:r>
    </w:p>
    <w:p w:rsidR="00AA23C2" w:rsidRDefault="007D24CF" w:rsidP="000A36BB">
      <w:pPr>
        <w:tabs>
          <w:tab w:val="left" w:pos="360"/>
          <w:tab w:val="left" w:pos="600"/>
        </w:tabs>
        <w:spacing w:after="60"/>
        <w:ind w:left="600" w:right="821" w:hanging="600"/>
        <w:rPr>
          <w:szCs w:val="24"/>
        </w:rPr>
      </w:pPr>
      <w:r>
        <w:rPr>
          <w:szCs w:val="24"/>
        </w:rPr>
        <w:tab/>
        <w:t>-</w:t>
      </w:r>
      <w:r>
        <w:rPr>
          <w:szCs w:val="24"/>
        </w:rPr>
        <w:tab/>
        <w:t>D</w:t>
      </w:r>
      <w:r w:rsidR="00AA23C2">
        <w:rPr>
          <w:szCs w:val="24"/>
        </w:rPr>
        <w:t>rift of the characteristics of the transfer meters (during measurement and, especially, during shipment);</w:t>
      </w:r>
    </w:p>
    <w:p w:rsidR="00AA23C2" w:rsidRDefault="007D24CF" w:rsidP="000A36BB">
      <w:pPr>
        <w:tabs>
          <w:tab w:val="left" w:pos="360"/>
          <w:tab w:val="left" w:pos="600"/>
        </w:tabs>
        <w:spacing w:after="60"/>
        <w:ind w:left="600" w:right="821" w:hanging="600"/>
        <w:rPr>
          <w:szCs w:val="24"/>
        </w:rPr>
      </w:pPr>
      <w:r>
        <w:rPr>
          <w:szCs w:val="24"/>
        </w:rPr>
        <w:tab/>
        <w:t>-</w:t>
      </w:r>
      <w:r>
        <w:rPr>
          <w:szCs w:val="24"/>
        </w:rPr>
        <w:tab/>
        <w:t>R</w:t>
      </w:r>
      <w:r w:rsidR="00AA23C2">
        <w:rPr>
          <w:szCs w:val="24"/>
        </w:rPr>
        <w:t xml:space="preserve">epeatability of the measurement conditions, which, of course, are superimposed by the parameter drift effect in the </w:t>
      </w:r>
      <w:proofErr w:type="spellStart"/>
      <w:r w:rsidR="00AA23C2">
        <w:rPr>
          <w:szCs w:val="24"/>
        </w:rPr>
        <w:t>flowmeter</w:t>
      </w:r>
      <w:proofErr w:type="spellEnd"/>
      <w:r w:rsidR="00AA23C2">
        <w:rPr>
          <w:szCs w:val="24"/>
        </w:rPr>
        <w:t>(s).</w:t>
      </w:r>
    </w:p>
    <w:p w:rsidR="00AA23C2" w:rsidRDefault="00AA23C2" w:rsidP="007964CE">
      <w:pPr>
        <w:spacing w:after="60"/>
        <w:jc w:val="both"/>
        <w:rPr>
          <w:szCs w:val="24"/>
        </w:rPr>
      </w:pPr>
      <w:r>
        <w:rPr>
          <w:szCs w:val="24"/>
        </w:rPr>
        <w:t>The paper will present solutions</w:t>
      </w:r>
      <w:r w:rsidR="007D24CF">
        <w:rPr>
          <w:szCs w:val="24"/>
        </w:rPr>
        <w:t xml:space="preserve"> in hardware and software and</w:t>
      </w:r>
      <w:r>
        <w:rPr>
          <w:szCs w:val="24"/>
        </w:rPr>
        <w:t>,</w:t>
      </w:r>
      <w:r w:rsidR="00691709">
        <w:rPr>
          <w:szCs w:val="24"/>
        </w:rPr>
        <w:t xml:space="preserve"> </w:t>
      </w:r>
      <w:r>
        <w:rPr>
          <w:szCs w:val="24"/>
        </w:rPr>
        <w:t>as well as, procedures and techniques which aim at solving the above-mentioned requirements:</w:t>
      </w:r>
    </w:p>
    <w:p w:rsidR="00AA23C2" w:rsidRDefault="00AA23C2" w:rsidP="000A36BB">
      <w:pPr>
        <w:tabs>
          <w:tab w:val="left" w:pos="360"/>
          <w:tab w:val="left" w:pos="600"/>
        </w:tabs>
        <w:spacing w:after="60"/>
        <w:ind w:left="601" w:right="821" w:hanging="601"/>
        <w:rPr>
          <w:szCs w:val="24"/>
        </w:rPr>
      </w:pPr>
      <w:r>
        <w:rPr>
          <w:szCs w:val="24"/>
        </w:rPr>
        <w:tab/>
        <w:t>-</w:t>
      </w:r>
      <w:r>
        <w:rPr>
          <w:szCs w:val="24"/>
        </w:rPr>
        <w:tab/>
        <w:t xml:space="preserve">Combination of a pair of transfer </w:t>
      </w:r>
      <w:proofErr w:type="spellStart"/>
      <w:r>
        <w:rPr>
          <w:szCs w:val="24"/>
        </w:rPr>
        <w:t>flowmeters</w:t>
      </w:r>
      <w:proofErr w:type="spellEnd"/>
      <w:r>
        <w:rPr>
          <w:szCs w:val="24"/>
        </w:rPr>
        <w:t xml:space="preserve"> which rely on different physical operating principles</w:t>
      </w:r>
      <w:r w:rsidR="00691709">
        <w:rPr>
          <w:szCs w:val="24"/>
        </w:rPr>
        <w:t xml:space="preserve"> (</w:t>
      </w:r>
      <w:r w:rsidR="00691709" w:rsidRPr="00691709">
        <w:rPr>
          <w:b/>
          <w:szCs w:val="24"/>
        </w:rPr>
        <w:t>Figure </w:t>
      </w:r>
      <w:r w:rsidR="00D4122F">
        <w:rPr>
          <w:b/>
          <w:szCs w:val="24"/>
        </w:rPr>
        <w:t>1</w:t>
      </w:r>
      <w:r w:rsidR="00691709">
        <w:rPr>
          <w:szCs w:val="24"/>
        </w:rPr>
        <w:t>)</w:t>
      </w:r>
      <w:r>
        <w:rPr>
          <w:szCs w:val="24"/>
        </w:rPr>
        <w:t>;</w:t>
      </w:r>
    </w:p>
    <w:p w:rsidR="00AA23C2" w:rsidRDefault="00AA23C2" w:rsidP="000A36BB">
      <w:pPr>
        <w:tabs>
          <w:tab w:val="left" w:pos="360"/>
          <w:tab w:val="left" w:pos="600"/>
        </w:tabs>
        <w:spacing w:after="60"/>
        <w:ind w:left="601" w:right="821" w:hanging="601"/>
        <w:rPr>
          <w:szCs w:val="24"/>
        </w:rPr>
      </w:pPr>
      <w:r>
        <w:rPr>
          <w:szCs w:val="24"/>
        </w:rPr>
        <w:tab/>
        <w:t>-</w:t>
      </w:r>
      <w:r>
        <w:rPr>
          <w:szCs w:val="24"/>
        </w:rPr>
        <w:tab/>
        <w:t>Meter characterization of the transfer meters prior to the comparison measurements with res</w:t>
      </w:r>
      <w:r w:rsidR="00CD0173">
        <w:rPr>
          <w:szCs w:val="24"/>
        </w:rPr>
        <w:t xml:space="preserve">pect to their operating </w:t>
      </w:r>
      <w:proofErr w:type="spellStart"/>
      <w:r w:rsidR="00CD0173">
        <w:rPr>
          <w:szCs w:val="24"/>
        </w:rPr>
        <w:t>behavio</w:t>
      </w:r>
      <w:r>
        <w:rPr>
          <w:szCs w:val="24"/>
        </w:rPr>
        <w:t>r</w:t>
      </w:r>
      <w:proofErr w:type="spellEnd"/>
      <w:r>
        <w:rPr>
          <w:szCs w:val="24"/>
        </w:rPr>
        <w:t xml:space="preserve"> due to varying fluid temperatures and gage pressure;</w:t>
      </w:r>
    </w:p>
    <w:p w:rsidR="00AA23C2" w:rsidRDefault="00AA23C2" w:rsidP="000A36BB">
      <w:pPr>
        <w:tabs>
          <w:tab w:val="left" w:pos="360"/>
          <w:tab w:val="left" w:pos="600"/>
        </w:tabs>
        <w:spacing w:after="60"/>
        <w:ind w:left="601" w:right="821" w:hanging="601"/>
        <w:rPr>
          <w:szCs w:val="24"/>
        </w:rPr>
      </w:pPr>
      <w:r>
        <w:rPr>
          <w:szCs w:val="24"/>
        </w:rPr>
        <w:tab/>
        <w:t>-</w:t>
      </w:r>
      <w:r>
        <w:rPr>
          <w:szCs w:val="24"/>
        </w:rPr>
        <w:tab/>
        <w:t>Auxiliary electronic devices</w:t>
      </w:r>
      <w:r w:rsidR="00A36E00">
        <w:rPr>
          <w:szCs w:val="24"/>
        </w:rPr>
        <w:t xml:space="preserve"> (including special-purpose software)</w:t>
      </w:r>
      <w:r>
        <w:rPr>
          <w:szCs w:val="24"/>
        </w:rPr>
        <w:t xml:space="preserve"> which monitor the measurement conditions during the calibration in the test facility of the participating laboratories in an inter-laboratory comparison;</w:t>
      </w:r>
    </w:p>
    <w:p w:rsidR="00AA23C2" w:rsidRDefault="00AA23C2" w:rsidP="000A36BB">
      <w:pPr>
        <w:tabs>
          <w:tab w:val="left" w:pos="360"/>
          <w:tab w:val="left" w:pos="600"/>
        </w:tabs>
        <w:spacing w:after="60"/>
        <w:ind w:left="601" w:right="821" w:hanging="601"/>
        <w:rPr>
          <w:szCs w:val="24"/>
        </w:rPr>
      </w:pPr>
      <w:r>
        <w:rPr>
          <w:szCs w:val="24"/>
        </w:rPr>
        <w:tab/>
        <w:t>-</w:t>
      </w:r>
      <w:r>
        <w:rPr>
          <w:szCs w:val="24"/>
        </w:rPr>
        <w:tab/>
        <w:t>Analysing recorded and logged data with respect to the time responses of the process quantities</w:t>
      </w:r>
      <w:r w:rsidR="007F5099">
        <w:rPr>
          <w:szCs w:val="24"/>
        </w:rPr>
        <w:t xml:space="preserve"> during calibration</w:t>
      </w:r>
      <w:r w:rsidR="00D4122F">
        <w:rPr>
          <w:szCs w:val="24"/>
        </w:rPr>
        <w:t xml:space="preserve"> (See: </w:t>
      </w:r>
      <w:r w:rsidR="00D4122F" w:rsidRPr="00D4122F">
        <w:rPr>
          <w:b/>
          <w:szCs w:val="24"/>
        </w:rPr>
        <w:t>Figure 2</w:t>
      </w:r>
      <w:r w:rsidR="00D4122F">
        <w:rPr>
          <w:szCs w:val="24"/>
        </w:rPr>
        <w:t>)</w:t>
      </w:r>
      <w:r>
        <w:rPr>
          <w:szCs w:val="24"/>
        </w:rPr>
        <w:t>;</w:t>
      </w:r>
    </w:p>
    <w:p w:rsidR="00AA23C2" w:rsidRDefault="00AA23C2" w:rsidP="000A36BB">
      <w:pPr>
        <w:tabs>
          <w:tab w:val="left" w:pos="360"/>
          <w:tab w:val="left" w:pos="600"/>
        </w:tabs>
        <w:spacing w:after="60"/>
        <w:ind w:left="601" w:right="821" w:hanging="601"/>
        <w:rPr>
          <w:szCs w:val="24"/>
        </w:rPr>
      </w:pPr>
      <w:r>
        <w:rPr>
          <w:szCs w:val="24"/>
        </w:rPr>
        <w:tab/>
        <w:t>-</w:t>
      </w:r>
      <w:r>
        <w:rPr>
          <w:szCs w:val="24"/>
        </w:rPr>
        <w:tab/>
        <w:t xml:space="preserve">Calculation of the dynamic effect contributions to the measurement </w:t>
      </w:r>
      <w:r w:rsidR="003C1CA4">
        <w:rPr>
          <w:szCs w:val="24"/>
        </w:rPr>
        <w:t xml:space="preserve">uncertainty </w:t>
      </w:r>
      <w:r>
        <w:rPr>
          <w:szCs w:val="24"/>
        </w:rPr>
        <w:t>budgets of the calibration measurements;</w:t>
      </w:r>
    </w:p>
    <w:p w:rsidR="00AA23C2" w:rsidRDefault="00AA23C2" w:rsidP="000A36BB">
      <w:pPr>
        <w:tabs>
          <w:tab w:val="left" w:pos="360"/>
          <w:tab w:val="left" w:pos="600"/>
        </w:tabs>
        <w:spacing w:after="60"/>
        <w:ind w:left="601" w:right="821" w:hanging="601"/>
        <w:rPr>
          <w:szCs w:val="24"/>
        </w:rPr>
      </w:pPr>
      <w:r>
        <w:rPr>
          <w:szCs w:val="24"/>
        </w:rPr>
        <w:tab/>
        <w:t>-</w:t>
      </w:r>
      <w:r>
        <w:rPr>
          <w:szCs w:val="24"/>
        </w:rPr>
        <w:tab/>
        <w:t>Taking into account effects of redundancy based on the different operating principles of two transfer meters in order to separate and isolate uncertainty effects originating both from the transfer meters and the test facility.</w:t>
      </w:r>
    </w:p>
    <w:p w:rsidR="00100114" w:rsidRDefault="006228A7" w:rsidP="00100114">
      <w:pPr>
        <w:tabs>
          <w:tab w:val="left" w:pos="360"/>
          <w:tab w:val="left" w:pos="600"/>
        </w:tabs>
        <w:spacing w:after="60"/>
        <w:ind w:left="601" w:right="821" w:hanging="601"/>
        <w:jc w:val="center"/>
        <w:rPr>
          <w:szCs w:val="24"/>
        </w:rPr>
      </w:pPr>
      <w:r w:rsidRPr="006228A7">
        <w:rPr>
          <w:szCs w:val="24"/>
        </w:rPr>
      </w:r>
      <w:r>
        <w:rPr>
          <w:szCs w:val="24"/>
        </w:rPr>
        <w:pict>
          <v:shape id="_x0000_s1026" type="#_x0000_t202" style="width:212.2pt;height:162.7pt;mso-position-horizontal-relative:char;mso-position-vertical-relative:line" strokecolor="#969696">
            <v:textbox style="mso-next-textbox:#_x0000_s1026">
              <w:txbxContent>
                <w:p w:rsidR="00100114" w:rsidRPr="00004E81" w:rsidRDefault="00100114" w:rsidP="00100114">
                  <w:pPr>
                    <w:jc w:val="center"/>
                    <w:rPr>
                      <w:noProof/>
                      <w:sz w:val="20"/>
                    </w:rPr>
                  </w:pPr>
                </w:p>
                <w:p w:rsidR="00100114" w:rsidRPr="00004E81" w:rsidRDefault="00100114" w:rsidP="00100114">
                  <w:pPr>
                    <w:jc w:val="center"/>
                    <w:rPr>
                      <w:sz w:val="20"/>
                      <w:lang w:val="en-US"/>
                    </w:rPr>
                  </w:pPr>
                  <w:r>
                    <w:rPr>
                      <w:i/>
                      <w:noProof/>
                      <w:sz w:val="18"/>
                      <w:szCs w:val="18"/>
                      <w:lang w:val="de-DE" w:eastAsia="de-DE"/>
                    </w:rPr>
                    <w:drawing>
                      <wp:inline distT="0" distB="0" distL="0" distR="0">
                        <wp:extent cx="2286000" cy="1355725"/>
                        <wp:effectExtent l="19050" t="0" r="0" b="0"/>
                        <wp:docPr id="14" name="Bild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8"/>
                                <pic:cNvPicPr>
                                  <a:picLocks noChangeAspect="1" noChangeArrowheads="1"/>
                                </pic:cNvPicPr>
                              </pic:nvPicPr>
                              <pic:blipFill>
                                <a:blip r:embed="rId10"/>
                                <a:srcRect/>
                                <a:stretch>
                                  <a:fillRect/>
                                </a:stretch>
                              </pic:blipFill>
                              <pic:spPr bwMode="auto">
                                <a:xfrm>
                                  <a:off x="0" y="0"/>
                                  <a:ext cx="2286000" cy="1355725"/>
                                </a:xfrm>
                                <a:prstGeom prst="rect">
                                  <a:avLst/>
                                </a:prstGeom>
                                <a:noFill/>
                                <a:ln w="9525">
                                  <a:noFill/>
                                  <a:miter lim="800000"/>
                                  <a:headEnd/>
                                  <a:tailEnd/>
                                </a:ln>
                              </pic:spPr>
                            </pic:pic>
                          </a:graphicData>
                        </a:graphic>
                      </wp:inline>
                    </w:drawing>
                  </w:r>
                </w:p>
                <w:p w:rsidR="00100114" w:rsidRPr="00004E81" w:rsidRDefault="00100114" w:rsidP="00100114">
                  <w:pPr>
                    <w:jc w:val="center"/>
                    <w:rPr>
                      <w:sz w:val="20"/>
                      <w:lang w:val="en-US"/>
                    </w:rPr>
                  </w:pPr>
                </w:p>
                <w:p w:rsidR="00100114" w:rsidRPr="00004E81" w:rsidRDefault="00100114" w:rsidP="00100114">
                  <w:pPr>
                    <w:tabs>
                      <w:tab w:val="left" w:pos="1134"/>
                      <w:tab w:val="left" w:pos="1418"/>
                      <w:tab w:val="left" w:pos="1800"/>
                    </w:tabs>
                    <w:ind w:left="993" w:hanging="993"/>
                    <w:rPr>
                      <w:i/>
                      <w:sz w:val="18"/>
                      <w:szCs w:val="18"/>
                      <w:lang w:val="en-US"/>
                    </w:rPr>
                  </w:pPr>
                  <w:r w:rsidRPr="00004E81">
                    <w:rPr>
                      <w:b/>
                      <w:bCs/>
                      <w:i/>
                      <w:sz w:val="18"/>
                      <w:szCs w:val="18"/>
                      <w:lang w:val="en-US"/>
                    </w:rPr>
                    <w:t>Figure </w:t>
                  </w:r>
                  <w:r>
                    <w:rPr>
                      <w:b/>
                      <w:bCs/>
                      <w:i/>
                      <w:sz w:val="18"/>
                      <w:szCs w:val="18"/>
                      <w:lang w:val="en-US"/>
                    </w:rPr>
                    <w:t>2</w:t>
                  </w:r>
                  <w:r w:rsidRPr="00004E81">
                    <w:rPr>
                      <w:b/>
                      <w:bCs/>
                      <w:i/>
                      <w:sz w:val="18"/>
                      <w:szCs w:val="18"/>
                      <w:lang w:val="en-US"/>
                    </w:rPr>
                    <w:t>:</w:t>
                  </w:r>
                  <w:r w:rsidRPr="00004E81">
                    <w:rPr>
                      <w:i/>
                      <w:sz w:val="18"/>
                      <w:szCs w:val="18"/>
                      <w:lang w:val="en-US"/>
                    </w:rPr>
                    <w:tab/>
                    <w:t>Principle of signal acquisition during the comparison measurements</w:t>
                  </w:r>
                </w:p>
                <w:p w:rsidR="00100114" w:rsidRPr="00004E81" w:rsidRDefault="00100114" w:rsidP="00100114">
                  <w:pPr>
                    <w:tabs>
                      <w:tab w:val="left" w:pos="993"/>
                      <w:tab w:val="left" w:pos="1134"/>
                    </w:tabs>
                    <w:ind w:left="993" w:hanging="993"/>
                    <w:rPr>
                      <w:i/>
                      <w:sz w:val="18"/>
                      <w:szCs w:val="18"/>
                      <w:lang w:val="en-US"/>
                    </w:rPr>
                  </w:pPr>
                </w:p>
              </w:txbxContent>
            </v:textbox>
            <w10:wrap type="none"/>
            <w10:anchorlock/>
          </v:shape>
        </w:pict>
      </w:r>
    </w:p>
    <w:p w:rsidR="00AA23C2" w:rsidRDefault="00BA381F" w:rsidP="00D026E6">
      <w:pPr>
        <w:tabs>
          <w:tab w:val="left" w:pos="360"/>
          <w:tab w:val="left" w:pos="993"/>
        </w:tabs>
        <w:spacing w:after="120"/>
        <w:jc w:val="both"/>
        <w:rPr>
          <w:szCs w:val="24"/>
        </w:rPr>
      </w:pPr>
      <w:r>
        <w:rPr>
          <w:szCs w:val="24"/>
        </w:rPr>
        <w:t>The approach</w:t>
      </w:r>
      <w:r w:rsidR="00100114">
        <w:rPr>
          <w:szCs w:val="24"/>
        </w:rPr>
        <w:t>es</w:t>
      </w:r>
      <w:r>
        <w:rPr>
          <w:szCs w:val="24"/>
        </w:rPr>
        <w:t xml:space="preserve"> and the technique</w:t>
      </w:r>
      <w:r w:rsidR="00100114">
        <w:rPr>
          <w:szCs w:val="24"/>
        </w:rPr>
        <w:t>s</w:t>
      </w:r>
      <w:r>
        <w:rPr>
          <w:szCs w:val="24"/>
        </w:rPr>
        <w:t xml:space="preserve"> presented in the paper – and practiced for the first times in a </w:t>
      </w:r>
      <w:r w:rsidR="009C58BE">
        <w:rPr>
          <w:szCs w:val="24"/>
        </w:rPr>
        <w:t xml:space="preserve">WGFF </w:t>
      </w:r>
      <w:r>
        <w:rPr>
          <w:szCs w:val="24"/>
        </w:rPr>
        <w:t>Key Comparison</w:t>
      </w:r>
      <w:r w:rsidR="009C58BE">
        <w:rPr>
          <w:szCs w:val="24"/>
        </w:rPr>
        <w:t xml:space="preserve"> [2]</w:t>
      </w:r>
      <w:r>
        <w:rPr>
          <w:szCs w:val="24"/>
        </w:rPr>
        <w:t xml:space="preserve"> and SIM supplementary comparison</w:t>
      </w:r>
      <w:r w:rsidR="009C58BE">
        <w:rPr>
          <w:szCs w:val="24"/>
        </w:rPr>
        <w:t xml:space="preserve"> [3]</w:t>
      </w:r>
      <w:r>
        <w:rPr>
          <w:szCs w:val="24"/>
        </w:rPr>
        <w:t xml:space="preserve"> for water flow </w:t>
      </w:r>
      <w:r w:rsidR="003B7B77">
        <w:rPr>
          <w:szCs w:val="24"/>
        </w:rPr>
        <w:t>-</w:t>
      </w:r>
      <w:r>
        <w:rPr>
          <w:szCs w:val="24"/>
        </w:rPr>
        <w:t xml:space="preserve"> , on principle, can be utilized beneficially in any comparison, regardless whether liquid or gaseous fluids are subject of measurement or testing</w:t>
      </w:r>
    </w:p>
    <w:p w:rsidR="00691709" w:rsidRPr="00780C8C" w:rsidRDefault="00691709" w:rsidP="00780C8C">
      <w:pPr>
        <w:tabs>
          <w:tab w:val="left" w:pos="360"/>
          <w:tab w:val="left" w:pos="600"/>
        </w:tabs>
        <w:spacing w:after="120"/>
        <w:ind w:left="601" w:hanging="601"/>
        <w:jc w:val="both"/>
        <w:rPr>
          <w:b/>
          <w:szCs w:val="24"/>
          <w:lang w:val="es-CL"/>
        </w:rPr>
      </w:pPr>
      <w:r w:rsidRPr="00780C8C">
        <w:rPr>
          <w:b/>
          <w:szCs w:val="24"/>
          <w:lang w:val="es-CL"/>
        </w:rPr>
        <w:t>References:</w:t>
      </w:r>
    </w:p>
    <w:p w:rsidR="00691709" w:rsidRDefault="00780C8C" w:rsidP="00D026E6">
      <w:pPr>
        <w:tabs>
          <w:tab w:val="left" w:pos="360"/>
          <w:tab w:val="left" w:pos="600"/>
        </w:tabs>
        <w:spacing w:after="60"/>
        <w:ind w:left="601" w:hanging="601"/>
        <w:jc w:val="both"/>
        <w:rPr>
          <w:sz w:val="20"/>
          <w:lang w:val="en-US"/>
        </w:rPr>
      </w:pPr>
      <w:proofErr w:type="gramStart"/>
      <w:r w:rsidRPr="00780C8C">
        <w:rPr>
          <w:sz w:val="20"/>
          <w:lang w:val="en-US"/>
        </w:rPr>
        <w:t>[1]</w:t>
      </w:r>
      <w:r w:rsidRPr="00780C8C">
        <w:rPr>
          <w:sz w:val="20"/>
          <w:lang w:val="en-US"/>
        </w:rPr>
        <w:tab/>
        <w:t>R. Engel, H.-J.</w:t>
      </w:r>
      <w:proofErr w:type="gramEnd"/>
      <w:r w:rsidRPr="00780C8C">
        <w:rPr>
          <w:sz w:val="20"/>
          <w:lang w:val="en-US"/>
        </w:rPr>
        <w:t xml:space="preserve"> Baade: </w:t>
      </w:r>
      <w:r w:rsidRPr="00780C8C">
        <w:rPr>
          <w:i/>
          <w:sz w:val="20"/>
          <w:lang w:val="en-US"/>
        </w:rPr>
        <w:t xml:space="preserve">Quantifying impacts on the measurement uncertainty in flow </w:t>
      </w:r>
      <w:proofErr w:type="spellStart"/>
      <w:r w:rsidRPr="00780C8C">
        <w:rPr>
          <w:i/>
          <w:sz w:val="20"/>
          <w:lang w:val="en-US"/>
        </w:rPr>
        <w:t>caliebration</w:t>
      </w:r>
      <w:proofErr w:type="spellEnd"/>
      <w:r w:rsidRPr="00780C8C">
        <w:rPr>
          <w:i/>
          <w:sz w:val="20"/>
          <w:lang w:val="en-US"/>
        </w:rPr>
        <w:t xml:space="preserve"> arising from dynamic flow effects</w:t>
      </w:r>
      <w:r w:rsidRPr="00780C8C">
        <w:rPr>
          <w:sz w:val="20"/>
          <w:lang w:val="en-US"/>
        </w:rPr>
        <w:t xml:space="preserve">, </w:t>
      </w:r>
      <w:r>
        <w:rPr>
          <w:sz w:val="20"/>
          <w:lang w:val="en-US"/>
        </w:rPr>
        <w:t>Flow Measurement and Instrumentation, 44(2015), pp 51-60</w:t>
      </w:r>
    </w:p>
    <w:p w:rsidR="00D026E6" w:rsidRDefault="00D026E6" w:rsidP="00D026E6">
      <w:pPr>
        <w:tabs>
          <w:tab w:val="left" w:pos="360"/>
          <w:tab w:val="left" w:pos="600"/>
        </w:tabs>
        <w:spacing w:after="60"/>
        <w:ind w:left="601" w:hanging="601"/>
        <w:jc w:val="both"/>
        <w:rPr>
          <w:sz w:val="20"/>
          <w:lang w:val="en-US"/>
        </w:rPr>
      </w:pPr>
      <w:r>
        <w:rPr>
          <w:sz w:val="20"/>
          <w:lang w:val="en-US"/>
        </w:rPr>
        <w:t>[2]</w:t>
      </w:r>
      <w:r>
        <w:rPr>
          <w:sz w:val="20"/>
          <w:lang w:val="en-US"/>
        </w:rPr>
        <w:tab/>
        <w:t xml:space="preserve">R. Engel: </w:t>
      </w:r>
      <w:r w:rsidRPr="00D026E6">
        <w:rPr>
          <w:i/>
          <w:sz w:val="20"/>
          <w:lang w:val="en-US"/>
        </w:rPr>
        <w:t xml:space="preserve">Technical Protocol for Key Comparison </w:t>
      </w:r>
      <w:r w:rsidRPr="00D026E6">
        <w:rPr>
          <w:b/>
          <w:i/>
          <w:sz w:val="20"/>
          <w:lang w:val="en-US"/>
        </w:rPr>
        <w:t>CCM.FF-K1.2015, 2015</w:t>
      </w:r>
      <w:r>
        <w:rPr>
          <w:sz w:val="20"/>
          <w:lang w:val="en-US"/>
        </w:rPr>
        <w:t>, April</w:t>
      </w:r>
    </w:p>
    <w:p w:rsidR="00D026E6" w:rsidRDefault="00D026E6" w:rsidP="00D026E6">
      <w:pPr>
        <w:tabs>
          <w:tab w:val="left" w:pos="360"/>
          <w:tab w:val="left" w:pos="600"/>
        </w:tabs>
        <w:spacing w:after="60"/>
        <w:ind w:left="601" w:hanging="601"/>
        <w:jc w:val="both"/>
        <w:rPr>
          <w:sz w:val="20"/>
          <w:lang w:val="en-US"/>
        </w:rPr>
      </w:pPr>
      <w:r>
        <w:rPr>
          <w:sz w:val="20"/>
          <w:lang w:val="en-US"/>
        </w:rPr>
        <w:t>[3]</w:t>
      </w:r>
      <w:r>
        <w:rPr>
          <w:sz w:val="20"/>
          <w:lang w:val="en-US"/>
        </w:rPr>
        <w:tab/>
        <w:t xml:space="preserve">R. Engel: </w:t>
      </w:r>
      <w:r w:rsidRPr="00D026E6">
        <w:rPr>
          <w:i/>
          <w:sz w:val="20"/>
          <w:lang w:val="en-US"/>
        </w:rPr>
        <w:t xml:space="preserve">Technical Protocol for flow-laboratory inter-comparison </w:t>
      </w:r>
      <w:r w:rsidRPr="00D026E6">
        <w:rPr>
          <w:b/>
          <w:i/>
          <w:sz w:val="20"/>
          <w:lang w:val="en-US"/>
        </w:rPr>
        <w:t>SIM.M.FF-S9</w:t>
      </w:r>
      <w:r>
        <w:rPr>
          <w:sz w:val="20"/>
          <w:lang w:val="en-US"/>
        </w:rPr>
        <w:t>, 2016. March</w:t>
      </w:r>
    </w:p>
    <w:p w:rsidR="00A36E00" w:rsidRDefault="00A36E00" w:rsidP="00D026E6">
      <w:pPr>
        <w:tabs>
          <w:tab w:val="left" w:pos="360"/>
          <w:tab w:val="left" w:pos="600"/>
        </w:tabs>
        <w:spacing w:after="60"/>
        <w:ind w:left="601" w:hanging="601"/>
        <w:jc w:val="both"/>
        <w:rPr>
          <w:sz w:val="20"/>
          <w:lang w:val="en-US"/>
        </w:rPr>
      </w:pPr>
    </w:p>
    <w:p w:rsidR="00691709" w:rsidRPr="00D026E6" w:rsidRDefault="00CD13A9" w:rsidP="00CD13A9">
      <w:pPr>
        <w:tabs>
          <w:tab w:val="left" w:pos="284"/>
          <w:tab w:val="left" w:pos="709"/>
          <w:tab w:val="left" w:pos="851"/>
        </w:tabs>
        <w:ind w:left="426" w:hanging="567"/>
        <w:jc w:val="both"/>
        <w:rPr>
          <w:sz w:val="18"/>
          <w:szCs w:val="18"/>
          <w:lang w:val="en-US"/>
        </w:rPr>
      </w:pPr>
      <w:r>
        <w:rPr>
          <w:sz w:val="18"/>
          <w:szCs w:val="18"/>
          <w:lang w:val="en-US"/>
        </w:rPr>
        <w:tab/>
      </w:r>
      <w:r w:rsidR="0081138C" w:rsidRPr="00CD13A9">
        <w:rPr>
          <w:sz w:val="18"/>
          <w:szCs w:val="18"/>
          <w:vertAlign w:val="superscript"/>
          <w:lang w:val="en-US"/>
        </w:rPr>
        <w:t>*)</w:t>
      </w:r>
      <w:r w:rsidR="0081138C">
        <w:rPr>
          <w:sz w:val="18"/>
          <w:szCs w:val="18"/>
          <w:lang w:val="en-US"/>
        </w:rPr>
        <w:tab/>
      </w:r>
      <w:r w:rsidR="00D026E6" w:rsidRPr="00D026E6">
        <w:rPr>
          <w:sz w:val="18"/>
          <w:szCs w:val="18"/>
          <w:lang w:val="en-US"/>
        </w:rPr>
        <w:t xml:space="preserve">The author </w:t>
      </w:r>
      <w:r w:rsidR="0081138C">
        <w:rPr>
          <w:sz w:val="18"/>
          <w:szCs w:val="18"/>
          <w:lang w:val="en-US"/>
        </w:rPr>
        <w:t>has worked with PTB (Germany’s NMI) as</w:t>
      </w:r>
      <w:r>
        <w:rPr>
          <w:sz w:val="18"/>
          <w:szCs w:val="18"/>
          <w:lang w:val="en-US"/>
        </w:rPr>
        <w:t xml:space="preserve"> researcher and</w:t>
      </w:r>
      <w:r w:rsidR="0081138C">
        <w:rPr>
          <w:sz w:val="18"/>
          <w:szCs w:val="18"/>
          <w:lang w:val="en-US"/>
        </w:rPr>
        <w:t xml:space="preserve"> Head of Working Group “Traceability in Liquid Flow Measurement” until December 2015</w:t>
      </w:r>
    </w:p>
    <w:sectPr w:rsidR="00691709" w:rsidRPr="00D026E6" w:rsidSect="00B45795">
      <w:footerReference w:type="default" r:id="rId11"/>
      <w:pgSz w:w="11906" w:h="16838"/>
      <w:pgMar w:top="1440" w:right="1077" w:bottom="1440" w:left="107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21B" w:rsidRDefault="00C3521B" w:rsidP="00B370F7">
      <w:r>
        <w:separator/>
      </w:r>
    </w:p>
  </w:endnote>
  <w:endnote w:type="continuationSeparator" w:id="0">
    <w:p w:rsidR="00C3521B" w:rsidRDefault="00C3521B" w:rsidP="00B370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3C2" w:rsidRPr="00250D41" w:rsidRDefault="00AA23C2" w:rsidP="00250D41">
    <w:pPr>
      <w:pStyle w:val="Fuzeile"/>
      <w:tabs>
        <w:tab w:val="right" w:pos="9781"/>
      </w:tabs>
      <w:rPr>
        <w:sz w:val="20"/>
      </w:rPr>
    </w:pPr>
  </w:p>
  <w:p w:rsidR="00AA23C2" w:rsidRPr="00B370F7" w:rsidRDefault="00AA23C2" w:rsidP="00250D41">
    <w:pPr>
      <w:pStyle w:val="Fuzeile"/>
      <w:tabs>
        <w:tab w:val="clear" w:pos="4513"/>
        <w:tab w:val="clear" w:pos="9026"/>
        <w:tab w:val="right" w:pos="9781"/>
      </w:tabs>
      <w:rPr>
        <w:sz w:val="20"/>
      </w:rPr>
    </w:pPr>
    <w:r>
      <w:rPr>
        <w:sz w:val="20"/>
      </w:rPr>
      <w:t xml:space="preserve">FLOMEKO 2016, </w:t>
    </w:r>
    <w:smartTag w:uri="urn:schemas-microsoft-com:office:smarttags" w:element="date">
      <w:smartTagPr>
        <w:attr w:name="Month" w:val="9"/>
        <w:attr w:name="Day" w:val="26"/>
        <w:attr w:name="Year" w:val="2016"/>
      </w:smartTagPr>
      <w:smartTag w:uri="urn:schemas-microsoft-com:office:smarttags" w:element="date">
        <w:smartTagPr>
          <w:attr w:name="Month" w:val="9"/>
          <w:attr w:name="Day" w:val="26"/>
          <w:attr w:name="Year" w:val="2016"/>
        </w:smartTagPr>
        <w:r>
          <w:rPr>
            <w:sz w:val="20"/>
          </w:rPr>
          <w:t>Sydney</w:t>
        </w:r>
      </w:smartTag>
      <w:r>
        <w:rPr>
          <w:sz w:val="20"/>
        </w:rPr>
        <w:t xml:space="preserve">, </w:t>
      </w:r>
      <w:smartTag w:uri="urn:schemas-microsoft-com:office:smarttags" w:element="date">
        <w:smartTagPr>
          <w:attr w:name="Month" w:val="9"/>
          <w:attr w:name="Day" w:val="26"/>
          <w:attr w:name="Year" w:val="2016"/>
        </w:smartTagPr>
        <w:r>
          <w:rPr>
            <w:sz w:val="20"/>
          </w:rPr>
          <w:t>Australia</w:t>
        </w:r>
      </w:smartTag>
    </w:smartTag>
    <w:r>
      <w:rPr>
        <w:sz w:val="20"/>
      </w:rPr>
      <w:t xml:space="preserve">, </w:t>
    </w:r>
    <w:smartTag w:uri="urn:schemas-microsoft-com:office:smarttags" w:element="date">
      <w:smartTagPr>
        <w:attr w:name="Month" w:val="9"/>
        <w:attr w:name="Day" w:val="26"/>
        <w:attr w:name="Year" w:val="2016"/>
      </w:smartTagPr>
      <w:r>
        <w:rPr>
          <w:sz w:val="20"/>
        </w:rPr>
        <w:t>September 26-29, 2016</w:t>
      </w:r>
    </w:smartTag>
    <w:r>
      <w:rPr>
        <w:sz w:val="20"/>
      </w:rPr>
      <w:tab/>
      <w:t xml:space="preserve">   Page</w:t>
    </w:r>
    <w:r w:rsidRPr="00B370F7">
      <w:rPr>
        <w:sz w:val="20"/>
      </w:rPr>
      <w:t xml:space="preserve"> </w:t>
    </w:r>
    <w:r w:rsidR="006228A7" w:rsidRPr="00B370F7">
      <w:rPr>
        <w:sz w:val="20"/>
      </w:rPr>
      <w:fldChar w:fldCharType="begin"/>
    </w:r>
    <w:r w:rsidRPr="00B370F7">
      <w:rPr>
        <w:sz w:val="20"/>
      </w:rPr>
      <w:instrText xml:space="preserve"> PAGE   \* MERGEFORMAT </w:instrText>
    </w:r>
    <w:r w:rsidR="006228A7" w:rsidRPr="00B370F7">
      <w:rPr>
        <w:sz w:val="20"/>
      </w:rPr>
      <w:fldChar w:fldCharType="separate"/>
    </w:r>
    <w:r w:rsidR="00611D5C">
      <w:rPr>
        <w:noProof/>
        <w:sz w:val="20"/>
      </w:rPr>
      <w:t>1</w:t>
    </w:r>
    <w:r w:rsidR="006228A7" w:rsidRPr="00B370F7">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21B" w:rsidRDefault="00C3521B" w:rsidP="00B370F7">
      <w:r>
        <w:separator/>
      </w:r>
    </w:p>
  </w:footnote>
  <w:footnote w:type="continuationSeparator" w:id="0">
    <w:p w:rsidR="00C3521B" w:rsidRDefault="00C3521B" w:rsidP="00B370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E6BEF"/>
    <w:multiLevelType w:val="hybridMultilevel"/>
    <w:tmpl w:val="4A749EB2"/>
    <w:lvl w:ilvl="0" w:tplc="E098CE94">
      <w:start w:val="1"/>
      <w:numFmt w:val="decimal"/>
      <w:lvlText w:val="%1."/>
      <w:lvlJc w:val="left"/>
      <w:pPr>
        <w:tabs>
          <w:tab w:val="num" w:pos="720"/>
        </w:tabs>
        <w:ind w:left="720" w:hanging="360"/>
      </w:pPr>
      <w:rPr>
        <w:rFonts w:cs="Times New Roman" w:hint="default"/>
      </w:rPr>
    </w:lvl>
    <w:lvl w:ilvl="1" w:tplc="9D207DDC" w:tentative="1">
      <w:start w:val="1"/>
      <w:numFmt w:val="lowerLetter"/>
      <w:lvlText w:val="%2."/>
      <w:lvlJc w:val="left"/>
      <w:pPr>
        <w:tabs>
          <w:tab w:val="num" w:pos="1440"/>
        </w:tabs>
        <w:ind w:left="1440" w:hanging="360"/>
      </w:pPr>
      <w:rPr>
        <w:rFonts w:cs="Times New Roman"/>
      </w:rPr>
    </w:lvl>
    <w:lvl w:ilvl="2" w:tplc="F718DCF4" w:tentative="1">
      <w:start w:val="1"/>
      <w:numFmt w:val="lowerRoman"/>
      <w:lvlText w:val="%3."/>
      <w:lvlJc w:val="right"/>
      <w:pPr>
        <w:tabs>
          <w:tab w:val="num" w:pos="2160"/>
        </w:tabs>
        <w:ind w:left="2160" w:hanging="180"/>
      </w:pPr>
      <w:rPr>
        <w:rFonts w:cs="Times New Roman"/>
      </w:rPr>
    </w:lvl>
    <w:lvl w:ilvl="3" w:tplc="F9F48DCE" w:tentative="1">
      <w:start w:val="1"/>
      <w:numFmt w:val="decimal"/>
      <w:lvlText w:val="%4."/>
      <w:lvlJc w:val="left"/>
      <w:pPr>
        <w:tabs>
          <w:tab w:val="num" w:pos="2880"/>
        </w:tabs>
        <w:ind w:left="2880" w:hanging="360"/>
      </w:pPr>
      <w:rPr>
        <w:rFonts w:cs="Times New Roman"/>
      </w:rPr>
    </w:lvl>
    <w:lvl w:ilvl="4" w:tplc="8CD2F178" w:tentative="1">
      <w:start w:val="1"/>
      <w:numFmt w:val="lowerLetter"/>
      <w:lvlText w:val="%5."/>
      <w:lvlJc w:val="left"/>
      <w:pPr>
        <w:tabs>
          <w:tab w:val="num" w:pos="3600"/>
        </w:tabs>
        <w:ind w:left="3600" w:hanging="360"/>
      </w:pPr>
      <w:rPr>
        <w:rFonts w:cs="Times New Roman"/>
      </w:rPr>
    </w:lvl>
    <w:lvl w:ilvl="5" w:tplc="1F2E9A0A" w:tentative="1">
      <w:start w:val="1"/>
      <w:numFmt w:val="lowerRoman"/>
      <w:lvlText w:val="%6."/>
      <w:lvlJc w:val="right"/>
      <w:pPr>
        <w:tabs>
          <w:tab w:val="num" w:pos="4320"/>
        </w:tabs>
        <w:ind w:left="4320" w:hanging="180"/>
      </w:pPr>
      <w:rPr>
        <w:rFonts w:cs="Times New Roman"/>
      </w:rPr>
    </w:lvl>
    <w:lvl w:ilvl="6" w:tplc="1836100E" w:tentative="1">
      <w:start w:val="1"/>
      <w:numFmt w:val="decimal"/>
      <w:lvlText w:val="%7."/>
      <w:lvlJc w:val="left"/>
      <w:pPr>
        <w:tabs>
          <w:tab w:val="num" w:pos="5040"/>
        </w:tabs>
        <w:ind w:left="5040" w:hanging="360"/>
      </w:pPr>
      <w:rPr>
        <w:rFonts w:cs="Times New Roman"/>
      </w:rPr>
    </w:lvl>
    <w:lvl w:ilvl="7" w:tplc="4D46D95A" w:tentative="1">
      <w:start w:val="1"/>
      <w:numFmt w:val="lowerLetter"/>
      <w:lvlText w:val="%8."/>
      <w:lvlJc w:val="left"/>
      <w:pPr>
        <w:tabs>
          <w:tab w:val="num" w:pos="5760"/>
        </w:tabs>
        <w:ind w:left="5760" w:hanging="360"/>
      </w:pPr>
      <w:rPr>
        <w:rFonts w:cs="Times New Roman"/>
      </w:rPr>
    </w:lvl>
    <w:lvl w:ilvl="8" w:tplc="DAE4DC74" w:tentative="1">
      <w:start w:val="1"/>
      <w:numFmt w:val="lowerRoman"/>
      <w:lvlText w:val="%9."/>
      <w:lvlJc w:val="right"/>
      <w:pPr>
        <w:tabs>
          <w:tab w:val="num" w:pos="6480"/>
        </w:tabs>
        <w:ind w:left="6480" w:hanging="180"/>
      </w:pPr>
      <w:rPr>
        <w:rFonts w:cs="Times New Roman"/>
      </w:rPr>
    </w:lvl>
  </w:abstractNum>
  <w:abstractNum w:abstractNumId="1">
    <w:nsid w:val="46654921"/>
    <w:multiLevelType w:val="hybridMultilevel"/>
    <w:tmpl w:val="BA7E16F6"/>
    <w:lvl w:ilvl="0" w:tplc="7DCC7D92">
      <w:start w:val="3"/>
      <w:numFmt w:val="decimal"/>
      <w:lvlText w:val="(%1)"/>
      <w:lvlJc w:val="left"/>
      <w:pPr>
        <w:tabs>
          <w:tab w:val="num" w:pos="1980"/>
        </w:tabs>
        <w:ind w:left="1980" w:hanging="540"/>
      </w:pPr>
      <w:rPr>
        <w:rFonts w:hint="default"/>
      </w:rPr>
    </w:lvl>
    <w:lvl w:ilvl="1" w:tplc="04070019" w:tentative="1">
      <w:start w:val="1"/>
      <w:numFmt w:val="lowerLetter"/>
      <w:lvlText w:val="%2."/>
      <w:lvlJc w:val="left"/>
      <w:pPr>
        <w:tabs>
          <w:tab w:val="num" w:pos="2520"/>
        </w:tabs>
        <w:ind w:left="2520" w:hanging="360"/>
      </w:pPr>
    </w:lvl>
    <w:lvl w:ilvl="2" w:tplc="0407001B" w:tentative="1">
      <w:start w:val="1"/>
      <w:numFmt w:val="lowerRoman"/>
      <w:lvlText w:val="%3."/>
      <w:lvlJc w:val="right"/>
      <w:pPr>
        <w:tabs>
          <w:tab w:val="num" w:pos="3240"/>
        </w:tabs>
        <w:ind w:left="3240" w:hanging="180"/>
      </w:pPr>
    </w:lvl>
    <w:lvl w:ilvl="3" w:tplc="0407000F" w:tentative="1">
      <w:start w:val="1"/>
      <w:numFmt w:val="decimal"/>
      <w:lvlText w:val="%4."/>
      <w:lvlJc w:val="left"/>
      <w:pPr>
        <w:tabs>
          <w:tab w:val="num" w:pos="3960"/>
        </w:tabs>
        <w:ind w:left="3960" w:hanging="360"/>
      </w:pPr>
    </w:lvl>
    <w:lvl w:ilvl="4" w:tplc="04070019" w:tentative="1">
      <w:start w:val="1"/>
      <w:numFmt w:val="lowerLetter"/>
      <w:lvlText w:val="%5."/>
      <w:lvlJc w:val="left"/>
      <w:pPr>
        <w:tabs>
          <w:tab w:val="num" w:pos="4680"/>
        </w:tabs>
        <w:ind w:left="4680" w:hanging="360"/>
      </w:pPr>
    </w:lvl>
    <w:lvl w:ilvl="5" w:tplc="0407001B" w:tentative="1">
      <w:start w:val="1"/>
      <w:numFmt w:val="lowerRoman"/>
      <w:lvlText w:val="%6."/>
      <w:lvlJc w:val="right"/>
      <w:pPr>
        <w:tabs>
          <w:tab w:val="num" w:pos="5400"/>
        </w:tabs>
        <w:ind w:left="5400" w:hanging="180"/>
      </w:pPr>
    </w:lvl>
    <w:lvl w:ilvl="6" w:tplc="0407000F" w:tentative="1">
      <w:start w:val="1"/>
      <w:numFmt w:val="decimal"/>
      <w:lvlText w:val="%7."/>
      <w:lvlJc w:val="left"/>
      <w:pPr>
        <w:tabs>
          <w:tab w:val="num" w:pos="6120"/>
        </w:tabs>
        <w:ind w:left="6120" w:hanging="360"/>
      </w:pPr>
    </w:lvl>
    <w:lvl w:ilvl="7" w:tplc="04070019" w:tentative="1">
      <w:start w:val="1"/>
      <w:numFmt w:val="lowerLetter"/>
      <w:lvlText w:val="%8."/>
      <w:lvlJc w:val="left"/>
      <w:pPr>
        <w:tabs>
          <w:tab w:val="num" w:pos="6840"/>
        </w:tabs>
        <w:ind w:left="6840" w:hanging="360"/>
      </w:pPr>
    </w:lvl>
    <w:lvl w:ilvl="8" w:tplc="0407001B" w:tentative="1">
      <w:start w:val="1"/>
      <w:numFmt w:val="lowerRoman"/>
      <w:lvlText w:val="%9."/>
      <w:lvlJc w:val="right"/>
      <w:pPr>
        <w:tabs>
          <w:tab w:val="num" w:pos="7560"/>
        </w:tabs>
        <w:ind w:left="7560" w:hanging="180"/>
      </w:pPr>
    </w:lvl>
  </w:abstractNum>
  <w:abstractNum w:abstractNumId="2">
    <w:nsid w:val="52C92B30"/>
    <w:multiLevelType w:val="hybridMultilevel"/>
    <w:tmpl w:val="36DAB806"/>
    <w:lvl w:ilvl="0" w:tplc="97F89A0A">
      <w:start w:val="1"/>
      <w:numFmt w:val="decimal"/>
      <w:lvlText w:val="%1."/>
      <w:lvlJc w:val="left"/>
      <w:pPr>
        <w:tabs>
          <w:tab w:val="num" w:pos="720"/>
        </w:tabs>
        <w:ind w:left="720" w:hanging="360"/>
      </w:pPr>
      <w:rPr>
        <w:rFonts w:cs="Times New Roman" w:hint="default"/>
      </w:rPr>
    </w:lvl>
    <w:lvl w:ilvl="1" w:tplc="EB4EC2D6" w:tentative="1">
      <w:start w:val="1"/>
      <w:numFmt w:val="lowerLetter"/>
      <w:lvlText w:val="%2."/>
      <w:lvlJc w:val="left"/>
      <w:pPr>
        <w:tabs>
          <w:tab w:val="num" w:pos="1440"/>
        </w:tabs>
        <w:ind w:left="1440" w:hanging="360"/>
      </w:pPr>
      <w:rPr>
        <w:rFonts w:cs="Times New Roman"/>
      </w:rPr>
    </w:lvl>
    <w:lvl w:ilvl="2" w:tplc="07886CDE" w:tentative="1">
      <w:start w:val="1"/>
      <w:numFmt w:val="lowerRoman"/>
      <w:lvlText w:val="%3."/>
      <w:lvlJc w:val="right"/>
      <w:pPr>
        <w:tabs>
          <w:tab w:val="num" w:pos="2160"/>
        </w:tabs>
        <w:ind w:left="2160" w:hanging="180"/>
      </w:pPr>
      <w:rPr>
        <w:rFonts w:cs="Times New Roman"/>
      </w:rPr>
    </w:lvl>
    <w:lvl w:ilvl="3" w:tplc="08365304" w:tentative="1">
      <w:start w:val="1"/>
      <w:numFmt w:val="decimal"/>
      <w:lvlText w:val="%4."/>
      <w:lvlJc w:val="left"/>
      <w:pPr>
        <w:tabs>
          <w:tab w:val="num" w:pos="2880"/>
        </w:tabs>
        <w:ind w:left="2880" w:hanging="360"/>
      </w:pPr>
      <w:rPr>
        <w:rFonts w:cs="Times New Roman"/>
      </w:rPr>
    </w:lvl>
    <w:lvl w:ilvl="4" w:tplc="30241B4A" w:tentative="1">
      <w:start w:val="1"/>
      <w:numFmt w:val="lowerLetter"/>
      <w:lvlText w:val="%5."/>
      <w:lvlJc w:val="left"/>
      <w:pPr>
        <w:tabs>
          <w:tab w:val="num" w:pos="3600"/>
        </w:tabs>
        <w:ind w:left="3600" w:hanging="360"/>
      </w:pPr>
      <w:rPr>
        <w:rFonts w:cs="Times New Roman"/>
      </w:rPr>
    </w:lvl>
    <w:lvl w:ilvl="5" w:tplc="3DA8D728" w:tentative="1">
      <w:start w:val="1"/>
      <w:numFmt w:val="lowerRoman"/>
      <w:lvlText w:val="%6."/>
      <w:lvlJc w:val="right"/>
      <w:pPr>
        <w:tabs>
          <w:tab w:val="num" w:pos="4320"/>
        </w:tabs>
        <w:ind w:left="4320" w:hanging="180"/>
      </w:pPr>
      <w:rPr>
        <w:rFonts w:cs="Times New Roman"/>
      </w:rPr>
    </w:lvl>
    <w:lvl w:ilvl="6" w:tplc="A6BAA0B4" w:tentative="1">
      <w:start w:val="1"/>
      <w:numFmt w:val="decimal"/>
      <w:lvlText w:val="%7."/>
      <w:lvlJc w:val="left"/>
      <w:pPr>
        <w:tabs>
          <w:tab w:val="num" w:pos="5040"/>
        </w:tabs>
        <w:ind w:left="5040" w:hanging="360"/>
      </w:pPr>
      <w:rPr>
        <w:rFonts w:cs="Times New Roman"/>
      </w:rPr>
    </w:lvl>
    <w:lvl w:ilvl="7" w:tplc="9044115A" w:tentative="1">
      <w:start w:val="1"/>
      <w:numFmt w:val="lowerLetter"/>
      <w:lvlText w:val="%8."/>
      <w:lvlJc w:val="left"/>
      <w:pPr>
        <w:tabs>
          <w:tab w:val="num" w:pos="5760"/>
        </w:tabs>
        <w:ind w:left="5760" w:hanging="360"/>
      </w:pPr>
      <w:rPr>
        <w:rFonts w:cs="Times New Roman"/>
      </w:rPr>
    </w:lvl>
    <w:lvl w:ilvl="8" w:tplc="04244972" w:tentative="1">
      <w:start w:val="1"/>
      <w:numFmt w:val="lowerRoman"/>
      <w:lvlText w:val="%9."/>
      <w:lvlJc w:val="right"/>
      <w:pPr>
        <w:tabs>
          <w:tab w:val="num" w:pos="6480"/>
        </w:tabs>
        <w:ind w:left="6480" w:hanging="180"/>
      </w:pPr>
      <w:rPr>
        <w:rFonts w:cs="Times New Roman"/>
      </w:rPr>
    </w:lvl>
  </w:abstractNum>
  <w:abstractNum w:abstractNumId="3">
    <w:nsid w:val="65704C44"/>
    <w:multiLevelType w:val="hybridMultilevel"/>
    <w:tmpl w:val="097C1C70"/>
    <w:lvl w:ilvl="0" w:tplc="F6D02004">
      <w:start w:val="1"/>
      <w:numFmt w:val="decimal"/>
      <w:lvlText w:val="[%1]"/>
      <w:lvlJc w:val="left"/>
      <w:pPr>
        <w:ind w:left="720" w:hanging="360"/>
      </w:pPr>
      <w:rPr>
        <w:rFonts w:cs="Times New Roman"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75EE78FD"/>
    <w:multiLevelType w:val="hybridMultilevel"/>
    <w:tmpl w:val="C1AA2C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7C4709D6"/>
    <w:multiLevelType w:val="hybridMultilevel"/>
    <w:tmpl w:val="D2D6EB9A"/>
    <w:lvl w:ilvl="0" w:tplc="EBE665D8">
      <w:start w:val="4"/>
      <w:numFmt w:val="decimal"/>
      <w:lvlText w:val="%1."/>
      <w:lvlJc w:val="left"/>
      <w:pPr>
        <w:tabs>
          <w:tab w:val="num" w:pos="1080"/>
        </w:tabs>
        <w:ind w:left="1080" w:hanging="720"/>
      </w:pPr>
      <w:rPr>
        <w:rFonts w:cs="Times New Roman" w:hint="default"/>
      </w:rPr>
    </w:lvl>
    <w:lvl w:ilvl="1" w:tplc="86FCDBBC" w:tentative="1">
      <w:start w:val="1"/>
      <w:numFmt w:val="lowerLetter"/>
      <w:lvlText w:val="%2."/>
      <w:lvlJc w:val="left"/>
      <w:pPr>
        <w:tabs>
          <w:tab w:val="num" w:pos="1440"/>
        </w:tabs>
        <w:ind w:left="1440" w:hanging="360"/>
      </w:pPr>
      <w:rPr>
        <w:rFonts w:cs="Times New Roman"/>
      </w:rPr>
    </w:lvl>
    <w:lvl w:ilvl="2" w:tplc="72745876" w:tentative="1">
      <w:start w:val="1"/>
      <w:numFmt w:val="lowerRoman"/>
      <w:lvlText w:val="%3."/>
      <w:lvlJc w:val="right"/>
      <w:pPr>
        <w:tabs>
          <w:tab w:val="num" w:pos="2160"/>
        </w:tabs>
        <w:ind w:left="2160" w:hanging="180"/>
      </w:pPr>
      <w:rPr>
        <w:rFonts w:cs="Times New Roman"/>
      </w:rPr>
    </w:lvl>
    <w:lvl w:ilvl="3" w:tplc="133412D6" w:tentative="1">
      <w:start w:val="1"/>
      <w:numFmt w:val="decimal"/>
      <w:lvlText w:val="%4."/>
      <w:lvlJc w:val="left"/>
      <w:pPr>
        <w:tabs>
          <w:tab w:val="num" w:pos="2880"/>
        </w:tabs>
        <w:ind w:left="2880" w:hanging="360"/>
      </w:pPr>
      <w:rPr>
        <w:rFonts w:cs="Times New Roman"/>
      </w:rPr>
    </w:lvl>
    <w:lvl w:ilvl="4" w:tplc="04D4775E" w:tentative="1">
      <w:start w:val="1"/>
      <w:numFmt w:val="lowerLetter"/>
      <w:lvlText w:val="%5."/>
      <w:lvlJc w:val="left"/>
      <w:pPr>
        <w:tabs>
          <w:tab w:val="num" w:pos="3600"/>
        </w:tabs>
        <w:ind w:left="3600" w:hanging="360"/>
      </w:pPr>
      <w:rPr>
        <w:rFonts w:cs="Times New Roman"/>
      </w:rPr>
    </w:lvl>
    <w:lvl w:ilvl="5" w:tplc="E3D2A262" w:tentative="1">
      <w:start w:val="1"/>
      <w:numFmt w:val="lowerRoman"/>
      <w:lvlText w:val="%6."/>
      <w:lvlJc w:val="right"/>
      <w:pPr>
        <w:tabs>
          <w:tab w:val="num" w:pos="4320"/>
        </w:tabs>
        <w:ind w:left="4320" w:hanging="180"/>
      </w:pPr>
      <w:rPr>
        <w:rFonts w:cs="Times New Roman"/>
      </w:rPr>
    </w:lvl>
    <w:lvl w:ilvl="6" w:tplc="08621316" w:tentative="1">
      <w:start w:val="1"/>
      <w:numFmt w:val="decimal"/>
      <w:lvlText w:val="%7."/>
      <w:lvlJc w:val="left"/>
      <w:pPr>
        <w:tabs>
          <w:tab w:val="num" w:pos="5040"/>
        </w:tabs>
        <w:ind w:left="5040" w:hanging="360"/>
      </w:pPr>
      <w:rPr>
        <w:rFonts w:cs="Times New Roman"/>
      </w:rPr>
    </w:lvl>
    <w:lvl w:ilvl="7" w:tplc="721E4316" w:tentative="1">
      <w:start w:val="1"/>
      <w:numFmt w:val="lowerLetter"/>
      <w:lvlText w:val="%8."/>
      <w:lvlJc w:val="left"/>
      <w:pPr>
        <w:tabs>
          <w:tab w:val="num" w:pos="5760"/>
        </w:tabs>
        <w:ind w:left="5760" w:hanging="360"/>
      </w:pPr>
      <w:rPr>
        <w:rFonts w:cs="Times New Roman"/>
      </w:rPr>
    </w:lvl>
    <w:lvl w:ilvl="8" w:tplc="27D6B398"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proofState w:spelling="clean" w:grammar="clean"/>
  <w:attachedTemplate r:id="rId1"/>
  <w:stylePaneFormatFilter w:val="3F01"/>
  <w:defaultTabStop w:val="720"/>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rsids>
    <w:rsidRoot w:val="005F2C46"/>
    <w:rsid w:val="000A36BB"/>
    <w:rsid w:val="000C7442"/>
    <w:rsid w:val="000D79B2"/>
    <w:rsid w:val="00100114"/>
    <w:rsid w:val="0010254F"/>
    <w:rsid w:val="00114E9D"/>
    <w:rsid w:val="001943B6"/>
    <w:rsid w:val="00250D41"/>
    <w:rsid w:val="002A73B9"/>
    <w:rsid w:val="002A7874"/>
    <w:rsid w:val="002D3AFA"/>
    <w:rsid w:val="00317D92"/>
    <w:rsid w:val="003453C7"/>
    <w:rsid w:val="003528D3"/>
    <w:rsid w:val="00367F75"/>
    <w:rsid w:val="003B0787"/>
    <w:rsid w:val="003B3B3E"/>
    <w:rsid w:val="003B7B77"/>
    <w:rsid w:val="003C0BF7"/>
    <w:rsid w:val="003C1CA4"/>
    <w:rsid w:val="003D6491"/>
    <w:rsid w:val="003E34F3"/>
    <w:rsid w:val="003E4BC9"/>
    <w:rsid w:val="00402107"/>
    <w:rsid w:val="004378F8"/>
    <w:rsid w:val="0044440A"/>
    <w:rsid w:val="0048108B"/>
    <w:rsid w:val="00481C7F"/>
    <w:rsid w:val="004C2C75"/>
    <w:rsid w:val="005912E1"/>
    <w:rsid w:val="005B3B20"/>
    <w:rsid w:val="005C07BE"/>
    <w:rsid w:val="005F2C46"/>
    <w:rsid w:val="00611D5C"/>
    <w:rsid w:val="006228A7"/>
    <w:rsid w:val="006248F6"/>
    <w:rsid w:val="00641DAC"/>
    <w:rsid w:val="00657F17"/>
    <w:rsid w:val="00691709"/>
    <w:rsid w:val="006E5CF5"/>
    <w:rsid w:val="006F12BB"/>
    <w:rsid w:val="00737D34"/>
    <w:rsid w:val="00780C8C"/>
    <w:rsid w:val="007964CE"/>
    <w:rsid w:val="007D24CF"/>
    <w:rsid w:val="007D499A"/>
    <w:rsid w:val="007D548A"/>
    <w:rsid w:val="007F5099"/>
    <w:rsid w:val="007F73B3"/>
    <w:rsid w:val="00807BEF"/>
    <w:rsid w:val="0081138C"/>
    <w:rsid w:val="00815774"/>
    <w:rsid w:val="00825F28"/>
    <w:rsid w:val="00833569"/>
    <w:rsid w:val="0083409A"/>
    <w:rsid w:val="008357DD"/>
    <w:rsid w:val="008630DE"/>
    <w:rsid w:val="0089176E"/>
    <w:rsid w:val="008B29EC"/>
    <w:rsid w:val="008B4239"/>
    <w:rsid w:val="008C5AEA"/>
    <w:rsid w:val="008D2AA7"/>
    <w:rsid w:val="008D2C91"/>
    <w:rsid w:val="008E72B4"/>
    <w:rsid w:val="0090288C"/>
    <w:rsid w:val="00905079"/>
    <w:rsid w:val="00907F64"/>
    <w:rsid w:val="00986195"/>
    <w:rsid w:val="009C58BE"/>
    <w:rsid w:val="00A0063B"/>
    <w:rsid w:val="00A12E51"/>
    <w:rsid w:val="00A217DA"/>
    <w:rsid w:val="00A36E00"/>
    <w:rsid w:val="00A45D7A"/>
    <w:rsid w:val="00A5356A"/>
    <w:rsid w:val="00A80FBF"/>
    <w:rsid w:val="00A86C33"/>
    <w:rsid w:val="00AA23C2"/>
    <w:rsid w:val="00AB51F5"/>
    <w:rsid w:val="00AE4EE9"/>
    <w:rsid w:val="00AF5702"/>
    <w:rsid w:val="00B14AF5"/>
    <w:rsid w:val="00B21BA8"/>
    <w:rsid w:val="00B33C9D"/>
    <w:rsid w:val="00B370F7"/>
    <w:rsid w:val="00B45795"/>
    <w:rsid w:val="00B56E22"/>
    <w:rsid w:val="00B76DB2"/>
    <w:rsid w:val="00B8734B"/>
    <w:rsid w:val="00BA381F"/>
    <w:rsid w:val="00BE2A1A"/>
    <w:rsid w:val="00C3521B"/>
    <w:rsid w:val="00C62946"/>
    <w:rsid w:val="00CC1983"/>
    <w:rsid w:val="00CD0173"/>
    <w:rsid w:val="00CD13A9"/>
    <w:rsid w:val="00CD5471"/>
    <w:rsid w:val="00CE3151"/>
    <w:rsid w:val="00D0073E"/>
    <w:rsid w:val="00D026E6"/>
    <w:rsid w:val="00D13359"/>
    <w:rsid w:val="00D4122F"/>
    <w:rsid w:val="00DD7326"/>
    <w:rsid w:val="00DF7757"/>
    <w:rsid w:val="00E21914"/>
    <w:rsid w:val="00E41BCA"/>
    <w:rsid w:val="00E6109A"/>
    <w:rsid w:val="00E82DFE"/>
    <w:rsid w:val="00EA6110"/>
    <w:rsid w:val="00EF6B46"/>
    <w:rsid w:val="00F62060"/>
    <w:rsid w:val="00F96FF1"/>
    <w:rsid w:val="00FC1BA3"/>
    <w:rsid w:val="00FE6DC4"/>
    <w:rsid w:val="00FF2D4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62946"/>
    <w:rPr>
      <w:sz w:val="24"/>
      <w:szCs w:val="20"/>
      <w:lang w:val="en-AU" w:eastAsia="en-GB"/>
    </w:rPr>
  </w:style>
  <w:style w:type="paragraph" w:styleId="berschrift1">
    <w:name w:val="heading 1"/>
    <w:basedOn w:val="Standard"/>
    <w:next w:val="Standard"/>
    <w:link w:val="berschrift1Zchn"/>
    <w:uiPriority w:val="99"/>
    <w:qFormat/>
    <w:rsid w:val="00C62946"/>
    <w:pPr>
      <w:keepNext/>
      <w:outlineLvl w:val="0"/>
    </w:pPr>
    <w:rPr>
      <w:b/>
      <w:sz w:val="20"/>
    </w:rPr>
  </w:style>
  <w:style w:type="paragraph" w:styleId="berschrift2">
    <w:name w:val="heading 2"/>
    <w:basedOn w:val="Standard"/>
    <w:next w:val="Standard"/>
    <w:link w:val="berschrift2Zchn"/>
    <w:uiPriority w:val="99"/>
    <w:qFormat/>
    <w:rsid w:val="00C62946"/>
    <w:pPr>
      <w:keepNext/>
      <w:outlineLvl w:val="1"/>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0D79B2"/>
    <w:rPr>
      <w:rFonts w:ascii="Cambria" w:hAnsi="Cambria" w:cs="Times New Roman"/>
      <w:b/>
      <w:bCs/>
      <w:kern w:val="32"/>
      <w:sz w:val="32"/>
      <w:szCs w:val="32"/>
      <w:lang w:val="en-AU" w:eastAsia="en-GB"/>
    </w:rPr>
  </w:style>
  <w:style w:type="character" w:customStyle="1" w:styleId="berschrift2Zchn">
    <w:name w:val="Überschrift 2 Zchn"/>
    <w:basedOn w:val="Absatz-Standardschriftart"/>
    <w:link w:val="berschrift2"/>
    <w:uiPriority w:val="99"/>
    <w:semiHidden/>
    <w:rsid w:val="000D79B2"/>
    <w:rPr>
      <w:rFonts w:ascii="Cambria" w:hAnsi="Cambria" w:cs="Times New Roman"/>
      <w:b/>
      <w:bCs/>
      <w:i/>
      <w:iCs/>
      <w:sz w:val="28"/>
      <w:szCs w:val="28"/>
      <w:lang w:val="en-AU" w:eastAsia="en-GB"/>
    </w:rPr>
  </w:style>
  <w:style w:type="paragraph" w:styleId="Beschriftung">
    <w:name w:val="caption"/>
    <w:basedOn w:val="Standard"/>
    <w:next w:val="Standard"/>
    <w:uiPriority w:val="99"/>
    <w:qFormat/>
    <w:rsid w:val="00C62946"/>
    <w:pPr>
      <w:spacing w:before="120" w:after="120"/>
      <w:jc w:val="both"/>
    </w:pPr>
    <w:rPr>
      <w:b/>
      <w:sz w:val="16"/>
    </w:rPr>
  </w:style>
  <w:style w:type="paragraph" w:styleId="Textkrper">
    <w:name w:val="Body Text"/>
    <w:basedOn w:val="Standard"/>
    <w:link w:val="TextkrperZchn"/>
    <w:uiPriority w:val="99"/>
    <w:rsid w:val="00C62946"/>
    <w:pPr>
      <w:jc w:val="both"/>
    </w:pPr>
    <w:rPr>
      <w:sz w:val="20"/>
    </w:rPr>
  </w:style>
  <w:style w:type="character" w:customStyle="1" w:styleId="TextkrperZchn">
    <w:name w:val="Textkörper Zchn"/>
    <w:basedOn w:val="Absatz-Standardschriftart"/>
    <w:link w:val="Textkrper"/>
    <w:uiPriority w:val="99"/>
    <w:semiHidden/>
    <w:rsid w:val="000D79B2"/>
    <w:rPr>
      <w:rFonts w:cs="Times New Roman"/>
      <w:sz w:val="20"/>
      <w:szCs w:val="20"/>
      <w:lang w:val="en-AU" w:eastAsia="en-GB"/>
    </w:rPr>
  </w:style>
  <w:style w:type="paragraph" w:styleId="Titel">
    <w:name w:val="Title"/>
    <w:basedOn w:val="Standard"/>
    <w:link w:val="TitelZchn"/>
    <w:uiPriority w:val="99"/>
    <w:qFormat/>
    <w:rsid w:val="00C62946"/>
    <w:pPr>
      <w:jc w:val="center"/>
    </w:pPr>
    <w:rPr>
      <w:b/>
      <w:sz w:val="36"/>
    </w:rPr>
  </w:style>
  <w:style w:type="character" w:customStyle="1" w:styleId="TitelZchn">
    <w:name w:val="Titel Zchn"/>
    <w:basedOn w:val="Absatz-Standardschriftart"/>
    <w:link w:val="Titel"/>
    <w:uiPriority w:val="99"/>
    <w:rsid w:val="000D79B2"/>
    <w:rPr>
      <w:rFonts w:ascii="Cambria" w:hAnsi="Cambria" w:cs="Times New Roman"/>
      <w:b/>
      <w:bCs/>
      <w:kern w:val="28"/>
      <w:sz w:val="32"/>
      <w:szCs w:val="32"/>
      <w:lang w:val="en-AU" w:eastAsia="en-GB"/>
    </w:rPr>
  </w:style>
  <w:style w:type="paragraph" w:styleId="Textkrper-Zeileneinzug">
    <w:name w:val="Body Text Indent"/>
    <w:basedOn w:val="Standard"/>
    <w:link w:val="Textkrper-ZeileneinzugZchn"/>
    <w:uiPriority w:val="99"/>
    <w:rsid w:val="00C62946"/>
    <w:pPr>
      <w:ind w:left="360"/>
    </w:pPr>
  </w:style>
  <w:style w:type="character" w:customStyle="1" w:styleId="Textkrper-ZeileneinzugZchn">
    <w:name w:val="Textkörper-Zeileneinzug Zchn"/>
    <w:basedOn w:val="Absatz-Standardschriftart"/>
    <w:link w:val="Textkrper-Zeileneinzug"/>
    <w:uiPriority w:val="99"/>
    <w:semiHidden/>
    <w:rsid w:val="000D79B2"/>
    <w:rPr>
      <w:rFonts w:cs="Times New Roman"/>
      <w:sz w:val="20"/>
      <w:szCs w:val="20"/>
      <w:lang w:val="en-AU" w:eastAsia="en-GB"/>
    </w:rPr>
  </w:style>
  <w:style w:type="paragraph" w:styleId="Listenabsatz">
    <w:name w:val="List Paragraph"/>
    <w:basedOn w:val="Standard"/>
    <w:uiPriority w:val="99"/>
    <w:qFormat/>
    <w:rsid w:val="00B21BA8"/>
    <w:pPr>
      <w:ind w:left="720"/>
    </w:pPr>
  </w:style>
  <w:style w:type="paragraph" w:styleId="Kopfzeile">
    <w:name w:val="header"/>
    <w:basedOn w:val="Standard"/>
    <w:link w:val="KopfzeileZchn"/>
    <w:uiPriority w:val="99"/>
    <w:rsid w:val="00B370F7"/>
    <w:pPr>
      <w:tabs>
        <w:tab w:val="center" w:pos="4513"/>
        <w:tab w:val="right" w:pos="9026"/>
      </w:tabs>
    </w:pPr>
  </w:style>
  <w:style w:type="character" w:customStyle="1" w:styleId="KopfzeileZchn">
    <w:name w:val="Kopfzeile Zchn"/>
    <w:basedOn w:val="Absatz-Standardschriftart"/>
    <w:link w:val="Kopfzeile"/>
    <w:uiPriority w:val="99"/>
    <w:rsid w:val="00B370F7"/>
    <w:rPr>
      <w:rFonts w:cs="Times New Roman"/>
      <w:sz w:val="24"/>
      <w:lang w:val="en-AU" w:eastAsia="en-GB"/>
    </w:rPr>
  </w:style>
  <w:style w:type="paragraph" w:styleId="Fuzeile">
    <w:name w:val="footer"/>
    <w:basedOn w:val="Standard"/>
    <w:link w:val="FuzeileZchn"/>
    <w:uiPriority w:val="99"/>
    <w:rsid w:val="00B370F7"/>
    <w:pPr>
      <w:tabs>
        <w:tab w:val="center" w:pos="4513"/>
        <w:tab w:val="right" w:pos="9026"/>
      </w:tabs>
    </w:pPr>
  </w:style>
  <w:style w:type="character" w:customStyle="1" w:styleId="FuzeileZchn">
    <w:name w:val="Fußzeile Zchn"/>
    <w:basedOn w:val="Absatz-Standardschriftart"/>
    <w:link w:val="Fuzeile"/>
    <w:uiPriority w:val="99"/>
    <w:rsid w:val="00B370F7"/>
    <w:rPr>
      <w:rFonts w:cs="Times New Roman"/>
      <w:sz w:val="24"/>
      <w:lang w:val="en-AU" w:eastAsia="en-GB"/>
    </w:rPr>
  </w:style>
  <w:style w:type="paragraph" w:styleId="Sprechblasentext">
    <w:name w:val="Balloon Text"/>
    <w:basedOn w:val="Standard"/>
    <w:link w:val="SprechblasentextZchn"/>
    <w:uiPriority w:val="99"/>
    <w:semiHidden/>
    <w:rsid w:val="00250D41"/>
    <w:rPr>
      <w:rFonts w:ascii="Tahoma" w:hAnsi="Tahoma" w:cs="Tahoma"/>
      <w:sz w:val="16"/>
      <w:szCs w:val="16"/>
    </w:rPr>
  </w:style>
  <w:style w:type="character" w:customStyle="1" w:styleId="SprechblasentextZchn">
    <w:name w:val="Sprechblasentext Zchn"/>
    <w:basedOn w:val="Absatz-Standardschriftart"/>
    <w:link w:val="Sprechblasentext"/>
    <w:uiPriority w:val="99"/>
    <w:rsid w:val="00250D41"/>
    <w:rPr>
      <w:rFonts w:ascii="Tahoma" w:hAnsi="Tahoma" w:cs="Tahoma"/>
      <w:sz w:val="16"/>
      <w:szCs w:val="16"/>
      <w:lang w:val="en-AU" w:eastAsia="en-GB"/>
    </w:rPr>
  </w:style>
  <w:style w:type="character" w:styleId="Platzhaltertext">
    <w:name w:val="Placeholder Text"/>
    <w:basedOn w:val="Absatz-Standardschriftart"/>
    <w:uiPriority w:val="99"/>
    <w:semiHidden/>
    <w:rsid w:val="00250D41"/>
    <w:rPr>
      <w:rFonts w:cs="Times New Roman"/>
      <w:color w:val="808080"/>
    </w:rPr>
  </w:style>
  <w:style w:type="character" w:styleId="Hyperlink">
    <w:name w:val="Hyperlink"/>
    <w:basedOn w:val="Absatz-Standardschriftart"/>
    <w:uiPriority w:val="99"/>
    <w:rsid w:val="00250D41"/>
    <w:rPr>
      <w:rFonts w:cs="Times New Roman"/>
      <w:color w:val="0000FF"/>
      <w:u w:val="single"/>
    </w:rPr>
  </w:style>
  <w:style w:type="character" w:styleId="BesuchterHyperlink">
    <w:name w:val="FollowedHyperlink"/>
    <w:basedOn w:val="Absatz-Standardschriftart"/>
    <w:uiPriority w:val="99"/>
    <w:rsid w:val="00A86C33"/>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rrengel@t-online.de,Braunschwei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d.white\Local%20Settings\Temporary%20Internet%20Files\Content.IE5\MIAAZWET\MSA2011%20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MSA2011 template[1].dot</Template>
  <TotalTime>0</TotalTime>
  <Pages>2</Pages>
  <Words>494</Words>
  <Characters>2931</Characters>
  <Application>Microsoft Office Word</Application>
  <DocSecurity>0</DocSecurity>
  <Lines>56</Lines>
  <Paragraphs>25</Paragraphs>
  <ScaleCrop>false</ScaleCrop>
  <HeadingPairs>
    <vt:vector size="2" baseType="variant">
      <vt:variant>
        <vt:lpstr>Titel</vt:lpstr>
      </vt:variant>
      <vt:variant>
        <vt:i4>1</vt:i4>
      </vt:variant>
    </vt:vector>
  </HeadingPairs>
  <TitlesOfParts>
    <vt:vector size="1" baseType="lpstr">
      <vt:lpstr>MSA Value in Measurement 2004</vt:lpstr>
    </vt:vector>
  </TitlesOfParts>
  <Company>Metrology Society of Australia</Company>
  <LinksUpToDate>false</LinksUpToDate>
  <CharactersWithSpaces>3400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MSA Value in Measurement 2004</dc:title>
  <dc:creator>rod.white</dc:creator>
  <cp:lastModifiedBy>Rainer</cp:lastModifiedBy>
  <cp:revision>2</cp:revision>
  <cp:lastPrinted>2016-04-01T17:05:00Z</cp:lastPrinted>
  <dcterms:created xsi:type="dcterms:W3CDTF">2016-04-01T19:26:00Z</dcterms:created>
  <dcterms:modified xsi:type="dcterms:W3CDTF">2016-04-01T19:26:00Z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iveCommonsLicenseID">
    <vt:lpwstr>standard&amp;commercial=y&amp;derivatives=n&amp;jurisdiction=</vt:lpwstr>
  </property>
  <property fmtid="{D5CDD505-2E9C-101B-9397-08002B2CF9AE}" pid="3" name="CreativeCommonsLicenseURL">
    <vt:lpwstr>http://creativecommons.org/licenses/by-nd/4.0/</vt:lpwstr>
  </property>
  <property fmtid="{D5CDD505-2E9C-101B-9397-08002B2CF9AE}" pid="4" name="CreativeCommonsLicenseXml">
    <vt:lpwstr>&lt;?xml version="1.0" encoding="utf-8"?&gt;&lt;result&gt;&lt;license-uri&gt;http://creativecommons.org/licenses/by-nd/4.0/&lt;/license-uri&gt;&lt;license-name&gt;Attribution-NoDerivatives 4.0 International&lt;/license-name&gt;&lt;deprecated&gt;false&lt;/deprecated&gt;&lt;rdf&gt;&lt;rdf:RDF xmlns="http://creati</vt:lpwstr>
  </property>
</Properties>
</file>