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46" w:rsidRDefault="000C4100">
      <w:pPr>
        <w:pStyle w:val="Title"/>
      </w:pPr>
      <w:r>
        <w:t>Recent Innovations in the field</w:t>
      </w:r>
      <w:r w:rsidRPr="00D13359">
        <w:t xml:space="preserve"> </w:t>
      </w:r>
      <w:r>
        <w:t>of traceable calibration of liquid milli-flow rates with liquids other than water</w:t>
      </w:r>
    </w:p>
    <w:p w:rsidR="005F2C46" w:rsidRDefault="005F2C46"/>
    <w:p w:rsidR="005F2C46" w:rsidRPr="001421FA" w:rsidRDefault="000C4100" w:rsidP="00D13359">
      <w:pPr>
        <w:pStyle w:val="BodyText"/>
        <w:jc w:val="center"/>
        <w:rPr>
          <w:b/>
          <w:sz w:val="24"/>
          <w:lang w:val="de-CH"/>
        </w:rPr>
      </w:pPr>
      <w:r w:rsidRPr="001421FA">
        <w:rPr>
          <w:b/>
          <w:sz w:val="24"/>
          <w:lang w:val="de-CH"/>
        </w:rPr>
        <w:t>H. Bissig</w:t>
      </w:r>
      <w:r w:rsidR="00D13359" w:rsidRPr="001421FA">
        <w:rPr>
          <w:b/>
          <w:sz w:val="24"/>
          <w:lang w:val="de-CH"/>
        </w:rPr>
        <w:t xml:space="preserve">, </w:t>
      </w:r>
      <w:r w:rsidR="001421FA" w:rsidRPr="001421FA">
        <w:rPr>
          <w:b/>
          <w:sz w:val="24"/>
          <w:lang w:val="de-CH"/>
        </w:rPr>
        <w:t>M. Tschannen and M. de Huu</w:t>
      </w:r>
    </w:p>
    <w:p w:rsidR="005F2C46" w:rsidRPr="001421FA" w:rsidRDefault="005F2C46">
      <w:pPr>
        <w:jc w:val="center"/>
        <w:rPr>
          <w:i/>
          <w:sz w:val="22"/>
          <w:lang w:val="de-CH"/>
        </w:rPr>
      </w:pPr>
    </w:p>
    <w:p w:rsidR="002957BD" w:rsidRPr="00D13359" w:rsidRDefault="002957BD" w:rsidP="002957BD">
      <w:pPr>
        <w:jc w:val="center"/>
        <w:rPr>
          <w:i/>
          <w:sz w:val="20"/>
        </w:rPr>
      </w:pPr>
      <w:r>
        <w:rPr>
          <w:i/>
          <w:sz w:val="20"/>
        </w:rPr>
        <w:t>Federal Institute of Metrology METAS, Lindenweg 50, 3003 Bern-Wabern, Switzerland</w:t>
      </w:r>
    </w:p>
    <w:p w:rsidR="002957BD" w:rsidRDefault="002957BD" w:rsidP="002957BD">
      <w:pPr>
        <w:jc w:val="center"/>
        <w:rPr>
          <w:i/>
          <w:sz w:val="20"/>
        </w:rPr>
      </w:pPr>
      <w:r w:rsidRPr="00D13359">
        <w:rPr>
          <w:i/>
          <w:sz w:val="20"/>
        </w:rPr>
        <w:t xml:space="preserve">E-mail (corresponding author): </w:t>
      </w:r>
      <w:r>
        <w:rPr>
          <w:i/>
          <w:sz w:val="20"/>
        </w:rPr>
        <w:t>hugo.bissig</w:t>
      </w:r>
      <w:r w:rsidRPr="00D13359">
        <w:rPr>
          <w:i/>
          <w:sz w:val="20"/>
        </w:rPr>
        <w:t>@</w:t>
      </w:r>
      <w:r>
        <w:rPr>
          <w:i/>
          <w:sz w:val="20"/>
        </w:rPr>
        <w:t>metas.ch</w:t>
      </w:r>
    </w:p>
    <w:p w:rsidR="005F2C46" w:rsidRDefault="003319F0">
      <w:r>
        <w:pict>
          <v:rect id="_x0000_i1025" style="width:0;height:1.5pt" o:hralign="center" o:hrstd="t" o:hr="t" fillcolor="gray" stroked="f"/>
        </w:pict>
      </w:r>
    </w:p>
    <w:p w:rsidR="005F2C46" w:rsidRDefault="005F2C46" w:rsidP="00AB51F5">
      <w:pPr>
        <w:pStyle w:val="Heading1"/>
      </w:pPr>
      <w:r>
        <w:t>Abstract</w:t>
      </w:r>
    </w:p>
    <w:p w:rsidR="00AB51F5" w:rsidRPr="00AB51F5" w:rsidRDefault="00AB51F5" w:rsidP="00AB51F5"/>
    <w:p w:rsidR="005912E1" w:rsidRPr="000C4100" w:rsidRDefault="000C4100" w:rsidP="003D6491">
      <w:pPr>
        <w:jc w:val="both"/>
        <w:rPr>
          <w:sz w:val="20"/>
        </w:rPr>
      </w:pPr>
      <w:r w:rsidRPr="000C4100">
        <w:rPr>
          <w:sz w:val="20"/>
          <w:lang w:val="en-GB"/>
        </w:rPr>
        <w:t xml:space="preserve">Milli-, micro- and nano-flow calibrations are important in several areas of pharmaceutical, flow chemistry and health care applications where volumetric dosage or delivery at given flow rates are crucial for the process. After developing a facility for the micro-flow range, METAS has developed a facility to extend its international traceability for flow rates up to 100 ml/min with </w:t>
      </w:r>
      <w:r w:rsidR="00D5039D">
        <w:rPr>
          <w:sz w:val="20"/>
          <w:lang w:val="en-GB"/>
        </w:rPr>
        <w:t xml:space="preserve">an </w:t>
      </w:r>
      <w:r w:rsidRPr="000C4100">
        <w:rPr>
          <w:sz w:val="20"/>
          <w:lang w:val="en-GB"/>
        </w:rPr>
        <w:t>uncertaint</w:t>
      </w:r>
      <w:r w:rsidR="00D5039D">
        <w:rPr>
          <w:sz w:val="20"/>
          <w:lang w:val="en-GB"/>
        </w:rPr>
        <w:t>y</w:t>
      </w:r>
      <w:r w:rsidRPr="000C4100">
        <w:rPr>
          <w:sz w:val="20"/>
          <w:lang w:val="en-GB"/>
        </w:rPr>
        <w:t xml:space="preserve"> of 0.</w:t>
      </w:r>
      <w:r w:rsidR="009E3110">
        <w:rPr>
          <w:sz w:val="20"/>
          <w:lang w:val="en-GB"/>
        </w:rPr>
        <w:t>07</w:t>
      </w:r>
      <w:r w:rsidRPr="000C4100">
        <w:rPr>
          <w:sz w:val="20"/>
          <w:lang w:val="en-GB"/>
        </w:rPr>
        <w:t xml:space="preserve"> %. </w:t>
      </w:r>
      <w:r w:rsidRPr="000C4100">
        <w:rPr>
          <w:sz w:val="20"/>
          <w:lang w:val="en-GB" w:eastAsia="de-DE"/>
        </w:rPr>
        <w:t xml:space="preserve">The flow generators are homemade syringe pumps which allow measurements with liquids other than water in the range from 100 ml/min down to 100 nl/min. Traceability is guaranteed through the calibration of the generated flow rates of the syringe pumps by means of the dynamic gravimetric method where a liquid of well-known density and a well-controlled evaporation rate is used. Up to now, water has been used to perform these calibrations. </w:t>
      </w:r>
      <w:r w:rsidRPr="00AB4153">
        <w:rPr>
          <w:sz w:val="20"/>
          <w:lang w:val="en-GB" w:eastAsia="de-DE"/>
        </w:rPr>
        <w:t xml:space="preserve">The possibility to replace the water by oil with traceable properties </w:t>
      </w:r>
      <w:r w:rsidR="00AB4153">
        <w:rPr>
          <w:sz w:val="20"/>
          <w:lang w:val="en-GB" w:eastAsia="de-DE"/>
        </w:rPr>
        <w:t>is investigated</w:t>
      </w:r>
      <w:r w:rsidRPr="00AB4153">
        <w:rPr>
          <w:sz w:val="20"/>
          <w:lang w:val="en-GB" w:eastAsia="de-DE"/>
        </w:rPr>
        <w:t xml:space="preserve"> with respect to its applicability. As</w:t>
      </w:r>
      <w:r w:rsidRPr="000C4100">
        <w:rPr>
          <w:sz w:val="20"/>
          <w:lang w:val="en-GB" w:eastAsia="de-DE"/>
        </w:rPr>
        <w:t xml:space="preserve"> the syringe pump is a volumetric flow generator, it can be operated with any liquid acting as a transfer standard to perform calibrations of flow meters. </w:t>
      </w:r>
      <w:r w:rsidRPr="000C4100">
        <w:rPr>
          <w:sz w:val="20"/>
          <w:lang w:val="en-GB"/>
        </w:rPr>
        <w:t>The design of the milli-flow facility will be discussed as well as first measurement results of flow generators using other liquids than water.</w:t>
      </w:r>
    </w:p>
    <w:p w:rsidR="005F2C46" w:rsidRDefault="003319F0">
      <w:r>
        <w:pict>
          <v:rect id="_x0000_i1026" style="width:0;height:1.5pt" o:hralign="center" o:hrstd="t" o:hr="t" fillcolor="gray" stroked="f"/>
        </w:pict>
      </w:r>
    </w:p>
    <w:p w:rsidR="00EA6110" w:rsidRDefault="00EA6110">
      <w:pPr>
        <w:sectPr w:rsidR="00EA6110" w:rsidSect="00A86C33">
          <w:footerReference w:type="default" r:id="rId9"/>
          <w:pgSz w:w="11906" w:h="16838"/>
          <w:pgMar w:top="1440" w:right="1077" w:bottom="1440" w:left="1077" w:header="720" w:footer="720" w:gutter="0"/>
          <w:cols w:space="720"/>
        </w:sectPr>
      </w:pPr>
    </w:p>
    <w:p w:rsidR="005F2C46" w:rsidRDefault="005F2C46">
      <w:pPr>
        <w:pStyle w:val="BodyText"/>
      </w:pPr>
    </w:p>
    <w:p w:rsidR="005F2C46" w:rsidRDefault="005F2C46">
      <w:pPr>
        <w:pStyle w:val="Heading1"/>
      </w:pPr>
      <w:r>
        <w:t>1. Introduction</w:t>
      </w:r>
    </w:p>
    <w:p w:rsidR="005F2C46" w:rsidRDefault="005F2C46">
      <w:pPr>
        <w:pStyle w:val="BodyText"/>
      </w:pPr>
    </w:p>
    <w:p w:rsidR="00CF0397" w:rsidRDefault="00CF0397">
      <w:pPr>
        <w:pStyle w:val="BodyText"/>
        <w:rPr>
          <w:lang w:val="en-GB"/>
        </w:rPr>
      </w:pPr>
      <w:r w:rsidRPr="00002336">
        <w:rPr>
          <w:lang w:val="en-GB"/>
        </w:rPr>
        <w:t>Milli-, micro- and nano-flow calibrations are important in several areas of pharmaceutical, flow chemistry and health care applications where volumetric dosage or delivery at given flow rates are crucial for the process.</w:t>
      </w:r>
      <w:r>
        <w:rPr>
          <w:lang w:val="en-GB"/>
        </w:rPr>
        <w:t xml:space="preserve"> Calibration is required to achieve </w:t>
      </w:r>
      <w:r w:rsidR="00D5039D">
        <w:rPr>
          <w:lang w:val="en-GB"/>
        </w:rPr>
        <w:t>high</w:t>
      </w:r>
      <w:r>
        <w:rPr>
          <w:lang w:val="en-GB"/>
        </w:rPr>
        <w:t xml:space="preserve"> flow rate accuracy or to verify the repeatability and the reproducibility. </w:t>
      </w:r>
      <w:r w:rsidR="00D5039D">
        <w:rPr>
          <w:lang w:val="en-GB"/>
        </w:rPr>
        <w:t>Currently</w:t>
      </w:r>
      <w:r w:rsidR="00D02993">
        <w:rPr>
          <w:lang w:val="en-GB"/>
        </w:rPr>
        <w:t xml:space="preserve">, validated traceability in the micro flow range </w:t>
      </w:r>
      <w:r w:rsidR="0052571A">
        <w:rPr>
          <w:lang w:val="en-GB"/>
        </w:rPr>
        <w:t xml:space="preserve">in Europe </w:t>
      </w:r>
      <w:r w:rsidR="00D02993">
        <w:rPr>
          <w:lang w:val="en-GB"/>
        </w:rPr>
        <w:t>goes down to flow rate</w:t>
      </w:r>
      <w:r w:rsidR="00E02753">
        <w:rPr>
          <w:lang w:val="en-GB"/>
        </w:rPr>
        <w:t>s</w:t>
      </w:r>
      <w:r w:rsidR="00D02993">
        <w:rPr>
          <w:lang w:val="en-GB"/>
        </w:rPr>
        <w:t xml:space="preserve"> of 100 nl/min</w:t>
      </w:r>
      <w:r w:rsidR="0052571A">
        <w:rPr>
          <w:lang w:val="en-GB"/>
        </w:rPr>
        <w:t xml:space="preserve"> [1]. Therefore, traceable calibrations </w:t>
      </w:r>
      <w:r w:rsidR="008E79FE">
        <w:rPr>
          <w:lang w:val="en-GB"/>
        </w:rPr>
        <w:t xml:space="preserve">in Europe </w:t>
      </w:r>
      <w:r w:rsidR="0052571A">
        <w:rPr>
          <w:lang w:val="en-GB"/>
        </w:rPr>
        <w:t xml:space="preserve">are guaranteed </w:t>
      </w:r>
      <w:r w:rsidR="00907D11">
        <w:rPr>
          <w:lang w:val="en-GB"/>
        </w:rPr>
        <w:t>for flow rates of several orders of magnitude up to several thousands of m</w:t>
      </w:r>
      <w:r w:rsidR="00907D11" w:rsidRPr="00907D11">
        <w:rPr>
          <w:vertAlign w:val="superscript"/>
          <w:lang w:val="en-GB"/>
        </w:rPr>
        <w:t>3</w:t>
      </w:r>
      <w:r w:rsidR="00907D11">
        <w:rPr>
          <w:lang w:val="en-GB"/>
        </w:rPr>
        <w:t xml:space="preserve">/h. </w:t>
      </w:r>
      <w:r w:rsidR="00683431">
        <w:rPr>
          <w:lang w:val="en-GB"/>
        </w:rPr>
        <w:t xml:space="preserve">Nevertheless, most of the calibration facilities are operated with water and are not designed to be operated with </w:t>
      </w:r>
      <w:r w:rsidR="001A4DB9">
        <w:rPr>
          <w:lang w:val="en-GB"/>
        </w:rPr>
        <w:t xml:space="preserve">any </w:t>
      </w:r>
      <w:r w:rsidR="00683431">
        <w:rPr>
          <w:lang w:val="en-GB"/>
        </w:rPr>
        <w:t xml:space="preserve">other liquid than water. </w:t>
      </w:r>
      <w:r w:rsidR="00DC0935">
        <w:rPr>
          <w:lang w:val="en-GB"/>
        </w:rPr>
        <w:t>A minority of laboratories offers the calibration also for oil products [</w:t>
      </w:r>
      <w:r w:rsidR="00D05A4C">
        <w:rPr>
          <w:lang w:val="en-GB"/>
        </w:rPr>
        <w:t>2, 3, 4</w:t>
      </w:r>
      <w:r w:rsidR="00DC0935">
        <w:rPr>
          <w:lang w:val="en-GB"/>
        </w:rPr>
        <w:t>].</w:t>
      </w:r>
    </w:p>
    <w:p w:rsidR="00B0736C" w:rsidRDefault="00B0736C">
      <w:pPr>
        <w:pStyle w:val="BodyText"/>
        <w:rPr>
          <w:lang w:val="en-GB"/>
        </w:rPr>
      </w:pPr>
    </w:p>
    <w:p w:rsidR="003F13A1" w:rsidRDefault="00717938">
      <w:pPr>
        <w:pStyle w:val="BodyText"/>
        <w:rPr>
          <w:lang w:val="en-GB" w:eastAsia="de-DE"/>
        </w:rPr>
      </w:pPr>
      <w:r w:rsidRPr="000C4100">
        <w:rPr>
          <w:lang w:val="en-GB"/>
        </w:rPr>
        <w:t>After developing a facility for the micro-flow range</w:t>
      </w:r>
      <w:r w:rsidR="00D05A4C">
        <w:rPr>
          <w:lang w:val="en-GB"/>
        </w:rPr>
        <w:t xml:space="preserve"> [5</w:t>
      </w:r>
      <w:r>
        <w:rPr>
          <w:lang w:val="en-GB"/>
        </w:rPr>
        <w:t xml:space="preserve">, </w:t>
      </w:r>
      <w:r w:rsidR="00D05A4C">
        <w:rPr>
          <w:lang w:val="en-GB"/>
        </w:rPr>
        <w:t>6</w:t>
      </w:r>
      <w:r>
        <w:rPr>
          <w:lang w:val="en-GB"/>
        </w:rPr>
        <w:t>]</w:t>
      </w:r>
      <w:r w:rsidRPr="000C4100">
        <w:rPr>
          <w:lang w:val="en-GB"/>
        </w:rPr>
        <w:t xml:space="preserve">, METAS has developed a facility to extend its international traceability for flow rates up to </w:t>
      </w:r>
      <w:r w:rsidR="00621318">
        <w:rPr>
          <w:lang w:val="en-GB"/>
        </w:rPr>
        <w:t>1</w:t>
      </w:r>
      <w:r w:rsidRPr="000C4100">
        <w:rPr>
          <w:lang w:val="en-GB"/>
        </w:rPr>
        <w:t xml:space="preserve">00 ml/min with </w:t>
      </w:r>
      <w:r w:rsidR="00D5039D">
        <w:rPr>
          <w:lang w:val="en-GB"/>
        </w:rPr>
        <w:t xml:space="preserve">an </w:t>
      </w:r>
      <w:r w:rsidRPr="000C4100">
        <w:rPr>
          <w:lang w:val="en-GB"/>
        </w:rPr>
        <w:t>uncertaint</w:t>
      </w:r>
      <w:r w:rsidR="00D5039D">
        <w:rPr>
          <w:lang w:val="en-GB"/>
        </w:rPr>
        <w:t>y</w:t>
      </w:r>
      <w:r w:rsidRPr="000C4100">
        <w:rPr>
          <w:lang w:val="en-GB"/>
        </w:rPr>
        <w:t xml:space="preserve"> of 0.</w:t>
      </w:r>
      <w:r>
        <w:rPr>
          <w:lang w:val="en-GB"/>
        </w:rPr>
        <w:t>07</w:t>
      </w:r>
      <w:r w:rsidRPr="000C4100">
        <w:rPr>
          <w:lang w:val="en-GB"/>
        </w:rPr>
        <w:t xml:space="preserve"> %. </w:t>
      </w:r>
      <w:r w:rsidR="003F13A1">
        <w:rPr>
          <w:lang w:val="en-GB"/>
        </w:rPr>
        <w:t xml:space="preserve">More important is the fact that for the whole flow rate range from 100 nl/min to </w:t>
      </w:r>
      <w:r w:rsidR="00621318">
        <w:rPr>
          <w:lang w:val="en-GB"/>
        </w:rPr>
        <w:t>1</w:t>
      </w:r>
      <w:r w:rsidR="003F13A1">
        <w:rPr>
          <w:lang w:val="en-GB"/>
        </w:rPr>
        <w:t xml:space="preserve">00 ml/min </w:t>
      </w:r>
      <w:r w:rsidR="008E79FE">
        <w:rPr>
          <w:lang w:val="en-GB"/>
        </w:rPr>
        <w:t>METAS has developed</w:t>
      </w:r>
      <w:r w:rsidR="003F13A1">
        <w:rPr>
          <w:lang w:val="en-GB"/>
        </w:rPr>
        <w:t xml:space="preserve"> </w:t>
      </w:r>
      <w:r w:rsidRPr="000C4100">
        <w:rPr>
          <w:lang w:val="en-GB" w:eastAsia="de-DE"/>
        </w:rPr>
        <w:t xml:space="preserve">flow generators </w:t>
      </w:r>
      <w:r w:rsidR="008E79FE">
        <w:rPr>
          <w:lang w:val="en-GB" w:eastAsia="de-DE"/>
        </w:rPr>
        <w:t xml:space="preserve">that can be operated with other liquids than water. The flow </w:t>
      </w:r>
      <w:r w:rsidR="008E79FE" w:rsidRPr="00002336">
        <w:rPr>
          <w:lang w:val="en-GB" w:eastAsia="de-DE"/>
        </w:rPr>
        <w:t xml:space="preserve">generators are </w:t>
      </w:r>
      <w:r w:rsidR="006C58F9">
        <w:rPr>
          <w:lang w:val="en-GB" w:eastAsia="de-DE"/>
        </w:rPr>
        <w:t xml:space="preserve">homemade </w:t>
      </w:r>
      <w:r w:rsidR="008E79FE" w:rsidRPr="00002336">
        <w:rPr>
          <w:lang w:val="en-GB" w:eastAsia="de-DE"/>
        </w:rPr>
        <w:t xml:space="preserve">syringe pumps where the volume flow rates can be calibrated by means </w:t>
      </w:r>
      <w:r w:rsidR="003F13A1" w:rsidRPr="00002336">
        <w:rPr>
          <w:lang w:val="en-GB" w:eastAsia="de-DE"/>
        </w:rPr>
        <w:t>of the dynamic gravimetric method</w:t>
      </w:r>
      <w:r w:rsidR="003F13A1">
        <w:rPr>
          <w:lang w:val="en-GB" w:eastAsia="de-DE"/>
        </w:rPr>
        <w:t xml:space="preserve"> using water as liquid</w:t>
      </w:r>
      <w:r w:rsidR="006C58F9">
        <w:rPr>
          <w:lang w:val="en-GB" w:eastAsia="de-DE"/>
        </w:rPr>
        <w:t xml:space="preserve"> [5]</w:t>
      </w:r>
      <w:r w:rsidR="003F13A1">
        <w:rPr>
          <w:lang w:val="en-GB" w:eastAsia="de-DE"/>
        </w:rPr>
        <w:t>.</w:t>
      </w:r>
      <w:r w:rsidR="008E79FE">
        <w:rPr>
          <w:lang w:val="en-GB" w:eastAsia="de-DE"/>
        </w:rPr>
        <w:t xml:space="preserve"> These syringe pumps can then be operated with any other liquids as the volume flow rate is traceable to the SI units. To guarantee traceable calibrations of mass flow rates, the density of the </w:t>
      </w:r>
      <w:r w:rsidR="005A5579">
        <w:rPr>
          <w:lang w:val="en-GB" w:eastAsia="de-DE"/>
        </w:rPr>
        <w:t xml:space="preserve">used </w:t>
      </w:r>
      <w:r w:rsidR="008E79FE">
        <w:rPr>
          <w:lang w:val="en-GB" w:eastAsia="de-DE"/>
        </w:rPr>
        <w:t xml:space="preserve">liquid has to be </w:t>
      </w:r>
      <w:r w:rsidR="00633A2C">
        <w:rPr>
          <w:lang w:val="en-GB" w:eastAsia="de-DE"/>
        </w:rPr>
        <w:t>determined by means of traceable density measurements</w:t>
      </w:r>
      <w:r w:rsidR="003F1276">
        <w:rPr>
          <w:lang w:val="en-GB" w:eastAsia="de-DE"/>
        </w:rPr>
        <w:t xml:space="preserve"> </w:t>
      </w:r>
      <w:r w:rsidR="003F1276">
        <w:rPr>
          <w:lang w:val="en-GB" w:eastAsia="de-DE"/>
        </w:rPr>
        <w:lastRenderedPageBreak/>
        <w:t>in order to calculate the mass flow rate based on the measured volume flow rate</w:t>
      </w:r>
      <w:r w:rsidR="00633A2C">
        <w:rPr>
          <w:lang w:val="en-GB" w:eastAsia="de-DE"/>
        </w:rPr>
        <w:t>.</w:t>
      </w:r>
      <w:r w:rsidR="008E79FE">
        <w:rPr>
          <w:lang w:val="en-GB" w:eastAsia="de-DE"/>
        </w:rPr>
        <w:t xml:space="preserve"> </w:t>
      </w:r>
    </w:p>
    <w:p w:rsidR="005F2C46" w:rsidRDefault="005F2C46">
      <w:pPr>
        <w:pStyle w:val="BodyText"/>
      </w:pPr>
    </w:p>
    <w:p w:rsidR="005F2C46" w:rsidRDefault="005F2C46">
      <w:pPr>
        <w:pStyle w:val="Heading1"/>
      </w:pPr>
      <w:r>
        <w:t xml:space="preserve">2. </w:t>
      </w:r>
      <w:r w:rsidR="00C37BCC">
        <w:t xml:space="preserve">Design of the </w:t>
      </w:r>
      <w:r w:rsidR="00002336">
        <w:t>m</w:t>
      </w:r>
      <w:r w:rsidR="00C37BCC">
        <w:t>illi-</w:t>
      </w:r>
      <w:r w:rsidR="00002336">
        <w:t>f</w:t>
      </w:r>
      <w:r w:rsidR="00C37BCC">
        <w:t xml:space="preserve">low </w:t>
      </w:r>
      <w:r w:rsidR="00002336">
        <w:t>f</w:t>
      </w:r>
      <w:r w:rsidR="00C37BCC">
        <w:t>acility</w:t>
      </w:r>
    </w:p>
    <w:p w:rsidR="00F62060" w:rsidRDefault="00F62060">
      <w:pPr>
        <w:pStyle w:val="BodyText"/>
      </w:pPr>
    </w:p>
    <w:p w:rsidR="00F108CC" w:rsidRDefault="00F108CC">
      <w:pPr>
        <w:pStyle w:val="BodyText"/>
      </w:pPr>
      <w:r>
        <w:t xml:space="preserve">The milli-flow facility is designed to cover the flow rate range from </w:t>
      </w:r>
      <w:r w:rsidR="007F530D">
        <w:t>0.2</w:t>
      </w:r>
      <w:r>
        <w:t xml:space="preserve"> ml/min up to </w:t>
      </w:r>
      <w:r w:rsidR="00621318">
        <w:t>1</w:t>
      </w:r>
      <w:r>
        <w:t>00 ml/min</w:t>
      </w:r>
      <w:r w:rsidR="007F7D7A">
        <w:t xml:space="preserve"> with an uncertainty of 0.07 % (</w:t>
      </w:r>
      <w:r w:rsidR="00B36B12">
        <w:t>coverage factor 95 %)</w:t>
      </w:r>
      <w:r>
        <w:t>.</w:t>
      </w:r>
    </w:p>
    <w:p w:rsidR="00F108CC" w:rsidRPr="00F108CC" w:rsidRDefault="00F108CC">
      <w:pPr>
        <w:pStyle w:val="BodyText"/>
      </w:pPr>
    </w:p>
    <w:p w:rsidR="00F62060" w:rsidRPr="00F62060" w:rsidRDefault="00F62060">
      <w:pPr>
        <w:pStyle w:val="BodyText"/>
        <w:rPr>
          <w:i/>
        </w:rPr>
      </w:pPr>
      <w:r w:rsidRPr="00F62060">
        <w:rPr>
          <w:i/>
        </w:rPr>
        <w:t>2.1</w:t>
      </w:r>
      <w:r>
        <w:rPr>
          <w:i/>
        </w:rPr>
        <w:t xml:space="preserve"> </w:t>
      </w:r>
      <w:r w:rsidR="00F108CC">
        <w:rPr>
          <w:i/>
        </w:rPr>
        <w:t xml:space="preserve">Working principle </w:t>
      </w:r>
    </w:p>
    <w:p w:rsidR="008261D9" w:rsidRDefault="00B974EF">
      <w:pPr>
        <w:pStyle w:val="BodyText"/>
      </w:pPr>
      <w:r>
        <w:t>The flow generator, a homemade syringe pump, is filled with water and the water is p</w:t>
      </w:r>
      <w:r w:rsidR="006C58F9">
        <w:t>ressed</w:t>
      </w:r>
      <w:r>
        <w:t xml:space="preserve"> at the desired flow rate through the DUT </w:t>
      </w:r>
      <w:r w:rsidR="006C58F9">
        <w:t xml:space="preserve">and collected </w:t>
      </w:r>
      <w:r>
        <w:t>in the beaker on the balance</w:t>
      </w:r>
      <w:r w:rsidR="003E07EE">
        <w:t>, as shown in Figure 1</w:t>
      </w:r>
      <w:r>
        <w:t xml:space="preserve">. </w:t>
      </w:r>
      <w:r w:rsidR="00373DA6">
        <w:t xml:space="preserve">More details can be seen in Figure 2, where a picture of the </w:t>
      </w:r>
      <w:r w:rsidR="006C58F9">
        <w:t xml:space="preserve">actual </w:t>
      </w:r>
      <w:r w:rsidR="00373DA6">
        <w:t xml:space="preserve">facility is shown. </w:t>
      </w:r>
    </w:p>
    <w:p w:rsidR="008261D9" w:rsidRDefault="008261D9">
      <w:pPr>
        <w:pStyle w:val="BodyText"/>
      </w:pPr>
    </w:p>
    <w:p w:rsidR="008261D9" w:rsidRDefault="007B1E06" w:rsidP="008261D9">
      <w:pPr>
        <w:pStyle w:val="BodyText"/>
      </w:pPr>
      <w:r>
        <w:rPr>
          <w:rFonts w:asciiTheme="minorHAnsi" w:eastAsiaTheme="minorEastAsia" w:hAnsi="Calibri" w:cstheme="minorBidi"/>
          <w:b/>
          <w:bCs/>
          <w:noProof/>
          <w:color w:val="000000" w:themeColor="text1"/>
          <w:kern w:val="24"/>
          <w:sz w:val="24"/>
          <w:szCs w:val="24"/>
          <w:lang w:val="de-CH" w:eastAsia="de-CH"/>
        </w:rPr>
        <w:drawing>
          <wp:inline distT="0" distB="0" distL="0" distR="0" wp14:anchorId="745262D9" wp14:editId="17A71EBD">
            <wp:extent cx="2876550" cy="1200150"/>
            <wp:effectExtent l="0" t="0" r="0" b="0"/>
            <wp:docPr id="20" name="Picture 20" descr="S:\_135 Durchfluss_Hydrometrie\35_Konferenzen_Vortraege_Publikationen\2016\2016_09_26_29_Flomeko_Sydney\Pictures\Milli-Flow_Scheme_Wa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_135 Durchfluss_Hydrometrie\35_Konferenzen_Vortraege_Publikationen\2016\2016_09_26_29_Flomeko_Sydney\Pictures\Milli-Flow_Scheme_Water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1200150"/>
                    </a:xfrm>
                    <a:prstGeom prst="rect">
                      <a:avLst/>
                    </a:prstGeom>
                    <a:noFill/>
                    <a:ln>
                      <a:noFill/>
                    </a:ln>
                  </pic:spPr>
                </pic:pic>
              </a:graphicData>
            </a:graphic>
          </wp:inline>
        </w:drawing>
      </w:r>
    </w:p>
    <w:p w:rsidR="008261D9" w:rsidRDefault="008261D9" w:rsidP="00953E1A">
      <w:pPr>
        <w:pStyle w:val="Caption"/>
        <w:rPr>
          <w:b w:val="0"/>
        </w:rPr>
      </w:pPr>
      <w:r>
        <w:t xml:space="preserve">Figure 1: </w:t>
      </w:r>
      <w:r>
        <w:rPr>
          <w:b w:val="0"/>
        </w:rPr>
        <w:t>Working principle of the milli-flow facility. The flow generator p</w:t>
      </w:r>
      <w:r w:rsidR="006C58F9">
        <w:rPr>
          <w:b w:val="0"/>
        </w:rPr>
        <w:t>resses the water through the DUT</w:t>
      </w:r>
      <w:r>
        <w:rPr>
          <w:b w:val="0"/>
        </w:rPr>
        <w:t xml:space="preserve"> in the beaker on the balance</w:t>
      </w:r>
      <w:r w:rsidR="006C58F9">
        <w:rPr>
          <w:b w:val="0"/>
        </w:rPr>
        <w:t>, where it is collected</w:t>
      </w:r>
      <w:r>
        <w:rPr>
          <w:b w:val="0"/>
        </w:rPr>
        <w:t>.</w:t>
      </w:r>
    </w:p>
    <w:p w:rsidR="00373DA6" w:rsidRDefault="00373DA6" w:rsidP="00373DA6">
      <w:pPr>
        <w:pStyle w:val="BodyText"/>
        <w:rPr>
          <w:lang w:val="en-US" w:eastAsia="de-DE"/>
        </w:rPr>
      </w:pPr>
    </w:p>
    <w:p w:rsidR="00373DA6" w:rsidRDefault="00373DA6" w:rsidP="00373DA6">
      <w:pPr>
        <w:pStyle w:val="BodyText"/>
        <w:rPr>
          <w:lang w:val="en-US" w:eastAsia="de-DE"/>
        </w:rPr>
      </w:pPr>
      <w:r w:rsidRPr="00C76DFB">
        <w:rPr>
          <w:lang w:val="en-US" w:eastAsia="de-DE"/>
        </w:rPr>
        <w:t xml:space="preserve">The installation is filled with degased ultrapure water. </w:t>
      </w:r>
      <w:r>
        <w:rPr>
          <w:lang w:val="en-US" w:eastAsia="de-DE"/>
        </w:rPr>
        <w:t>To hamper growth of bacteria and algae, 50 mg of Sodium azide is mixed with 2 liters of ultrapure water, which is not hazardous for the environment</w:t>
      </w:r>
      <w:r w:rsidRPr="00530444">
        <w:rPr>
          <w:lang w:val="en-US" w:eastAsia="de-DE"/>
        </w:rPr>
        <w:t xml:space="preserve"> </w:t>
      </w:r>
      <w:r>
        <w:rPr>
          <w:lang w:val="en-US" w:eastAsia="de-DE"/>
        </w:rPr>
        <w:t>in this concentration.</w:t>
      </w:r>
    </w:p>
    <w:p w:rsidR="00054AA0" w:rsidRDefault="00054AA0" w:rsidP="00C867B5">
      <w:pPr>
        <w:pStyle w:val="BodyText"/>
        <w:rPr>
          <w:lang w:val="en-US" w:eastAsia="de-DE"/>
        </w:rPr>
      </w:pPr>
    </w:p>
    <w:p w:rsidR="00054AA0" w:rsidRDefault="007B1E06" w:rsidP="00C867B5">
      <w:pPr>
        <w:pStyle w:val="BodyText"/>
        <w:rPr>
          <w:lang w:val="en-US" w:eastAsia="de-DE"/>
        </w:rPr>
      </w:pPr>
      <w:r>
        <w:rPr>
          <w:noProof/>
          <w:lang w:val="de-CH" w:eastAsia="de-CH"/>
        </w:rPr>
        <w:lastRenderedPageBreak/>
        <w:drawing>
          <wp:inline distT="0" distB="0" distL="0" distR="0" wp14:anchorId="261136EF" wp14:editId="7D752811">
            <wp:extent cx="2867025" cy="1990725"/>
            <wp:effectExtent l="0" t="0" r="9525" b="9525"/>
            <wp:docPr id="19" name="Picture 19" descr="S:\_135 Durchfluss_Hydrometrie\35_Konferenzen_Vortraege_Publikationen\2016\2016_09_26_29_Flomeko_Sydney\Pictures\Milli-Flow_MET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_135 Durchfluss_Hydrometrie\35_Konferenzen_Vortraege_Publikationen\2016\2016_09_26_29_Flomeko_Sydney\Pictures\Milli-Flow_METAS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1990725"/>
                    </a:xfrm>
                    <a:prstGeom prst="rect">
                      <a:avLst/>
                    </a:prstGeom>
                    <a:noFill/>
                    <a:ln>
                      <a:noFill/>
                    </a:ln>
                  </pic:spPr>
                </pic:pic>
              </a:graphicData>
            </a:graphic>
          </wp:inline>
        </w:drawing>
      </w:r>
    </w:p>
    <w:p w:rsidR="00032DDB" w:rsidRDefault="00032DDB" w:rsidP="00953E1A">
      <w:pPr>
        <w:pStyle w:val="Caption"/>
        <w:rPr>
          <w:b w:val="0"/>
        </w:rPr>
      </w:pPr>
      <w:r>
        <w:t xml:space="preserve">Figure 2: </w:t>
      </w:r>
      <w:r w:rsidR="00290EFE">
        <w:rPr>
          <w:b w:val="0"/>
        </w:rPr>
        <w:t>M</w:t>
      </w:r>
      <w:r>
        <w:rPr>
          <w:b w:val="0"/>
        </w:rPr>
        <w:t xml:space="preserve">illi-flow facility. </w:t>
      </w:r>
      <w:r w:rsidR="00290EFE">
        <w:rPr>
          <w:b w:val="0"/>
        </w:rPr>
        <w:t>(A) syringe</w:t>
      </w:r>
      <w:r>
        <w:rPr>
          <w:b w:val="0"/>
        </w:rPr>
        <w:t xml:space="preserve"> pump</w:t>
      </w:r>
      <w:r w:rsidR="00290EFE">
        <w:rPr>
          <w:b w:val="0"/>
        </w:rPr>
        <w:t>, (B) beaker on balance, (C, D, E) pressure sensors, (F, G, H) temperature sensors, (I) pressure security valve, (J) water reservoir</w:t>
      </w:r>
      <w:r>
        <w:rPr>
          <w:b w:val="0"/>
        </w:rPr>
        <w:t>.</w:t>
      </w:r>
    </w:p>
    <w:p w:rsidR="00373DA6" w:rsidRDefault="00373DA6">
      <w:pPr>
        <w:pStyle w:val="BodyText"/>
        <w:rPr>
          <w:lang w:eastAsia="de-DE"/>
        </w:rPr>
      </w:pPr>
    </w:p>
    <w:p w:rsidR="00636DA8" w:rsidRDefault="00002336">
      <w:pPr>
        <w:pStyle w:val="BodyText"/>
      </w:pPr>
      <w:r>
        <w:rPr>
          <w:lang w:eastAsia="de-DE"/>
        </w:rPr>
        <w:t>An important issue is t</w:t>
      </w:r>
      <w:r w:rsidR="002D7963">
        <w:rPr>
          <w:lang w:eastAsia="de-DE"/>
        </w:rPr>
        <w:t>o avoid any air entrapment e</w:t>
      </w:r>
      <w:r w:rsidR="000B35D0">
        <w:rPr>
          <w:lang w:eastAsia="de-DE"/>
        </w:rPr>
        <w:t>ach</w:t>
      </w:r>
      <w:r w:rsidR="00636DA8">
        <w:rPr>
          <w:lang w:val="en-US" w:eastAsia="de-DE"/>
        </w:rPr>
        <w:t xml:space="preserve"> time a DUT is connected to the facility</w:t>
      </w:r>
      <w:r>
        <w:rPr>
          <w:lang w:val="en-US" w:eastAsia="de-DE"/>
        </w:rPr>
        <w:t>. T</w:t>
      </w:r>
      <w:r w:rsidR="00636DA8">
        <w:rPr>
          <w:lang w:val="en-US" w:eastAsia="de-DE"/>
        </w:rPr>
        <w:t xml:space="preserve">he calibration procedure has to make sure </w:t>
      </w:r>
      <w:r w:rsidR="00764F26">
        <w:rPr>
          <w:lang w:val="en-US" w:eastAsia="de-DE"/>
        </w:rPr>
        <w:t xml:space="preserve">that </w:t>
      </w:r>
      <w:r w:rsidR="00636DA8">
        <w:rPr>
          <w:lang w:val="en-US" w:eastAsia="de-DE"/>
        </w:rPr>
        <w:t>the air inside the DUT is flushed out. Close to the connections of the DUT</w:t>
      </w:r>
      <w:r w:rsidR="006C58F9">
        <w:rPr>
          <w:lang w:val="en-US" w:eastAsia="de-DE"/>
        </w:rPr>
        <w:t>,</w:t>
      </w:r>
      <w:r w:rsidR="00636DA8">
        <w:rPr>
          <w:lang w:val="en-US" w:eastAsia="de-DE"/>
        </w:rPr>
        <w:t xml:space="preserve"> a purging system with CO</w:t>
      </w:r>
      <w:r w:rsidR="00636DA8" w:rsidRPr="00D33B70">
        <w:rPr>
          <w:vertAlign w:val="subscript"/>
          <w:lang w:val="en-US" w:eastAsia="de-DE"/>
        </w:rPr>
        <w:t>2</w:t>
      </w:r>
      <w:r w:rsidR="00636DA8">
        <w:rPr>
          <w:lang w:val="en-US" w:eastAsia="de-DE"/>
        </w:rPr>
        <w:t xml:space="preserve"> is installed, where the DUT is first flushed with CO</w:t>
      </w:r>
      <w:r w:rsidR="00636DA8" w:rsidRPr="00D64B03">
        <w:rPr>
          <w:vertAlign w:val="subscript"/>
          <w:lang w:val="en-US" w:eastAsia="de-DE"/>
        </w:rPr>
        <w:t>2</w:t>
      </w:r>
      <w:r w:rsidR="002D1066">
        <w:rPr>
          <w:lang w:val="en-US" w:eastAsia="de-DE"/>
        </w:rPr>
        <w:t xml:space="preserve"> and then flushed with water, where the CO</w:t>
      </w:r>
      <w:r w:rsidR="002D1066" w:rsidRPr="002D1066">
        <w:rPr>
          <w:vertAlign w:val="subscript"/>
          <w:lang w:val="en-US" w:eastAsia="de-DE"/>
        </w:rPr>
        <w:t>2</w:t>
      </w:r>
      <w:r w:rsidR="002D1066">
        <w:rPr>
          <w:lang w:val="en-US" w:eastAsia="de-DE"/>
        </w:rPr>
        <w:t xml:space="preserve"> and the water are</w:t>
      </w:r>
      <w:r w:rsidR="00636DA8">
        <w:rPr>
          <w:lang w:val="en-US" w:eastAsia="de-DE"/>
        </w:rPr>
        <w:t xml:space="preserve"> directed to the piping for waste. </w:t>
      </w:r>
      <w:r w:rsidR="002D1066">
        <w:rPr>
          <w:lang w:val="en-US" w:eastAsia="de-DE"/>
        </w:rPr>
        <w:t>Thus, the DUT is full of water and no air is remaining in the piping.</w:t>
      </w:r>
    </w:p>
    <w:p w:rsidR="00636DA8" w:rsidRDefault="00636DA8">
      <w:pPr>
        <w:pStyle w:val="BodyText"/>
      </w:pPr>
    </w:p>
    <w:p w:rsidR="00F62060" w:rsidRPr="00F62060" w:rsidRDefault="00F62060">
      <w:pPr>
        <w:pStyle w:val="BodyText"/>
        <w:rPr>
          <w:i/>
        </w:rPr>
      </w:pPr>
      <w:r w:rsidRPr="00F62060">
        <w:rPr>
          <w:i/>
        </w:rPr>
        <w:t xml:space="preserve">2.2 </w:t>
      </w:r>
      <w:r w:rsidR="00283D5D">
        <w:rPr>
          <w:i/>
        </w:rPr>
        <w:t>Homemade syringe pump</w:t>
      </w:r>
      <w:r w:rsidRPr="00F62060">
        <w:rPr>
          <w:i/>
        </w:rPr>
        <w:t xml:space="preserve"> </w:t>
      </w:r>
    </w:p>
    <w:p w:rsidR="005F2C46" w:rsidRDefault="005F6EB0">
      <w:pPr>
        <w:pStyle w:val="BodyText"/>
      </w:pPr>
      <w:r>
        <w:t>The syringe pump consist</w:t>
      </w:r>
      <w:r w:rsidR="006C58F9">
        <w:t>s</w:t>
      </w:r>
      <w:r>
        <w:t xml:space="preserve"> of a high precision linear stage with a fixed linear measuring system, mounting parts to fix syringes in front of the table and mounting parts to fix and move the plunger of the syringe in order to generate the flow rate. The position of the linear stage is determined by counting the pulses sent by the linear measuring system by means of a</w:t>
      </w:r>
      <w:r w:rsidR="006C58F9">
        <w:t>n</w:t>
      </w:r>
      <w:r>
        <w:t xml:space="preserve"> FPGA. For each additional pulse in any direction</w:t>
      </w:r>
      <w:r w:rsidR="006C58F9">
        <w:t>,</w:t>
      </w:r>
      <w:r>
        <w:t xml:space="preserve"> a time stamp of the FPGA is recorded and a pair with the position and the timestamp is formed. This pair of values is then read from the main software and the real time position can be recorded. The real time speed is then determined by a linear fit of the position as a function of time. Multiplying the speed with the cross section of the syringe gives the volume flow rate.</w:t>
      </w:r>
    </w:p>
    <w:p w:rsidR="005F6EB0" w:rsidRDefault="005F6EB0">
      <w:pPr>
        <w:pStyle w:val="BodyText"/>
      </w:pPr>
    </w:p>
    <w:p w:rsidR="00E91C0F" w:rsidRDefault="00E91C0F">
      <w:pPr>
        <w:pStyle w:val="BodyText"/>
      </w:pPr>
      <w:r>
        <w:rPr>
          <w:noProof/>
          <w:lang w:val="de-CH" w:eastAsia="de-CH"/>
        </w:rPr>
        <w:drawing>
          <wp:inline distT="0" distB="0" distL="0" distR="0" wp14:anchorId="128F0BB1" wp14:editId="14C02DFD">
            <wp:extent cx="2867025" cy="1914525"/>
            <wp:effectExtent l="0" t="0" r="9525" b="9525"/>
            <wp:docPr id="9" name="Picture 9" descr="S:\_135 Durchfluss_Hydrometrie\35_Konferenzen_Vortraege_Publikationen\2016\2016_09_26_29_Flomeko_Sydney\Pictures\Syringe_Pump_MET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_135 Durchfluss_Hydrometrie\35_Konferenzen_Vortraege_Publikationen\2016\2016_09_26_29_Flomeko_Sydney\Pictures\Syringe_Pump_METAS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7025" cy="1914525"/>
                    </a:xfrm>
                    <a:prstGeom prst="rect">
                      <a:avLst/>
                    </a:prstGeom>
                    <a:noFill/>
                    <a:ln>
                      <a:noFill/>
                    </a:ln>
                  </pic:spPr>
                </pic:pic>
              </a:graphicData>
            </a:graphic>
          </wp:inline>
        </w:drawing>
      </w:r>
    </w:p>
    <w:p w:rsidR="00283D5D" w:rsidRDefault="00283D5D" w:rsidP="00953E1A">
      <w:pPr>
        <w:pStyle w:val="Caption"/>
      </w:pPr>
      <w:r>
        <w:t xml:space="preserve">Figure </w:t>
      </w:r>
      <w:r w:rsidR="00280E98">
        <w:t>3</w:t>
      </w:r>
      <w:r>
        <w:t xml:space="preserve">: </w:t>
      </w:r>
      <w:r w:rsidRPr="00283D5D">
        <w:rPr>
          <w:b w:val="0"/>
        </w:rPr>
        <w:t>Homemade syringe pump.</w:t>
      </w:r>
      <w:r w:rsidR="00280E98">
        <w:rPr>
          <w:b w:val="0"/>
        </w:rPr>
        <w:t xml:space="preserve"> (A) high precision linear stage, (B) linear measuring system, (C) syringe, (D) mounting syringe body, (E) mounting and positioning for syringe plunger.</w:t>
      </w:r>
    </w:p>
    <w:p w:rsidR="008960BD" w:rsidRPr="00F62060" w:rsidRDefault="008960BD" w:rsidP="008960BD">
      <w:pPr>
        <w:pStyle w:val="BodyText"/>
        <w:rPr>
          <w:i/>
        </w:rPr>
      </w:pPr>
      <w:r w:rsidRPr="00F62060">
        <w:rPr>
          <w:i/>
        </w:rPr>
        <w:t>2.</w:t>
      </w:r>
      <w:r>
        <w:rPr>
          <w:i/>
        </w:rPr>
        <w:t>3</w:t>
      </w:r>
      <w:r w:rsidRPr="00F62060">
        <w:rPr>
          <w:i/>
        </w:rPr>
        <w:t xml:space="preserve"> </w:t>
      </w:r>
      <w:r>
        <w:rPr>
          <w:i/>
        </w:rPr>
        <w:t xml:space="preserve">Evaporation </w:t>
      </w:r>
      <w:r w:rsidR="00B0736C">
        <w:rPr>
          <w:i/>
        </w:rPr>
        <w:t>and continuous water bridge</w:t>
      </w:r>
    </w:p>
    <w:p w:rsidR="00C7073B" w:rsidRPr="00764F26" w:rsidRDefault="001827A1">
      <w:pPr>
        <w:pStyle w:val="BodyText"/>
        <w:rPr>
          <w:lang w:val="en-US" w:eastAsia="de-DE"/>
        </w:rPr>
      </w:pPr>
      <w:r>
        <w:rPr>
          <w:lang w:val="en-US" w:eastAsia="de-DE"/>
        </w:rPr>
        <w:lastRenderedPageBreak/>
        <w:t>To limit the contribution of the evaporation of the water on the measurement, t</w:t>
      </w:r>
      <w:r w:rsidR="00B0736C" w:rsidRPr="00C76DFB">
        <w:rPr>
          <w:lang w:val="en-US" w:eastAsia="de-DE"/>
        </w:rPr>
        <w:t>he evaporation rate in the b</w:t>
      </w:r>
      <w:r w:rsidR="00B0736C">
        <w:rPr>
          <w:lang w:val="en-US" w:eastAsia="de-DE"/>
        </w:rPr>
        <w:t xml:space="preserve">eaker has to be kept low during the measurement. To control this process, the conventional method of adding </w:t>
      </w:r>
      <w:r w:rsidR="00B0736C" w:rsidRPr="00C76DFB">
        <w:rPr>
          <w:lang w:val="en-US" w:eastAsia="de-DE"/>
        </w:rPr>
        <w:t xml:space="preserve">water </w:t>
      </w:r>
      <w:r w:rsidR="00B0736C">
        <w:rPr>
          <w:lang w:val="en-US" w:eastAsia="de-DE"/>
        </w:rPr>
        <w:t xml:space="preserve">in an </w:t>
      </w:r>
      <w:r w:rsidR="00B0736C" w:rsidRPr="00C76DFB">
        <w:rPr>
          <w:lang w:val="en-US" w:eastAsia="de-DE"/>
        </w:rPr>
        <w:t xml:space="preserve">evaporation trap in the weighing zone </w:t>
      </w:r>
      <w:r w:rsidR="00B0736C">
        <w:rPr>
          <w:lang w:val="en-US" w:eastAsia="de-DE"/>
        </w:rPr>
        <w:t>(blue colored water in Figure 4</w:t>
      </w:r>
      <w:r w:rsidR="00700662">
        <w:rPr>
          <w:lang w:val="en-US" w:eastAsia="de-DE"/>
        </w:rPr>
        <w:t>, D</w:t>
      </w:r>
      <w:r w:rsidR="00B0736C">
        <w:rPr>
          <w:lang w:val="en-US" w:eastAsia="de-DE"/>
        </w:rPr>
        <w:t xml:space="preserve">) to saturate the </w:t>
      </w:r>
      <w:r w:rsidR="00B0736C" w:rsidRPr="00C76DFB">
        <w:rPr>
          <w:lang w:val="en-US" w:eastAsia="de-DE"/>
        </w:rPr>
        <w:t>air with humidity</w:t>
      </w:r>
      <w:r w:rsidR="00B0736C">
        <w:rPr>
          <w:lang w:val="en-US" w:eastAsia="de-DE"/>
        </w:rPr>
        <w:t xml:space="preserve"> is applied</w:t>
      </w:r>
      <w:r w:rsidR="00B0736C" w:rsidRPr="00C76DFB">
        <w:rPr>
          <w:lang w:val="en-US" w:eastAsia="de-DE"/>
        </w:rPr>
        <w:t xml:space="preserve">. </w:t>
      </w:r>
      <w:r w:rsidR="00B0736C">
        <w:rPr>
          <w:lang w:val="en-US" w:eastAsia="de-DE"/>
        </w:rPr>
        <w:t>To avoid any condensation on the outlet needle the degree of humidity is regulated by two small holes at the top of the weighing zone housing, which are connected to tubing acting as humidity exchanger</w:t>
      </w:r>
      <w:r w:rsidR="00700662">
        <w:rPr>
          <w:lang w:val="en-US" w:eastAsia="de-DE"/>
        </w:rPr>
        <w:t xml:space="preserve"> (Figure 4, G)</w:t>
      </w:r>
      <w:r w:rsidR="00B0736C">
        <w:rPr>
          <w:lang w:val="en-US" w:eastAsia="de-DE"/>
        </w:rPr>
        <w:t xml:space="preserve">. Additionally, a special measurement beaker is built, as shown in the </w:t>
      </w:r>
      <w:r w:rsidR="00B0736C" w:rsidRPr="00C76DFB">
        <w:rPr>
          <w:lang w:val="en-US" w:eastAsia="de-DE"/>
        </w:rPr>
        <w:t xml:space="preserve">detailed cross-section in </w:t>
      </w:r>
      <w:r w:rsidR="00B0736C">
        <w:rPr>
          <w:lang w:val="en-US" w:eastAsia="de-DE"/>
        </w:rPr>
        <w:t>Figure</w:t>
      </w:r>
      <w:r w:rsidR="00B0736C" w:rsidRPr="00C76DFB">
        <w:rPr>
          <w:lang w:val="en-US" w:eastAsia="de-DE"/>
        </w:rPr>
        <w:t xml:space="preserve"> </w:t>
      </w:r>
      <w:r w:rsidR="00700662">
        <w:rPr>
          <w:lang w:val="en-US" w:eastAsia="de-DE"/>
        </w:rPr>
        <w:t>4</w:t>
      </w:r>
      <w:r w:rsidR="00B0736C" w:rsidRPr="00C76DFB">
        <w:rPr>
          <w:lang w:val="en-US" w:eastAsia="de-DE"/>
        </w:rPr>
        <w:t xml:space="preserve"> (</w:t>
      </w:r>
      <w:r w:rsidR="00700662">
        <w:rPr>
          <w:lang w:val="en-US" w:eastAsia="de-DE"/>
        </w:rPr>
        <w:t>B</w:t>
      </w:r>
      <w:r w:rsidR="00B0736C" w:rsidRPr="00C76DFB">
        <w:rPr>
          <w:lang w:val="en-US" w:eastAsia="de-DE"/>
        </w:rPr>
        <w:t xml:space="preserve">). The outlet needle is </w:t>
      </w:r>
      <w:r w:rsidR="00B0736C">
        <w:rPr>
          <w:lang w:val="en-US" w:eastAsia="de-DE"/>
        </w:rPr>
        <w:t xml:space="preserve">in general </w:t>
      </w:r>
      <w:r w:rsidR="00B0736C" w:rsidRPr="00C76DFB">
        <w:rPr>
          <w:lang w:val="en-US" w:eastAsia="de-DE"/>
        </w:rPr>
        <w:t xml:space="preserve">positioned </w:t>
      </w:r>
      <w:r w:rsidR="00700662">
        <w:rPr>
          <w:lang w:val="en-US" w:eastAsia="de-DE"/>
        </w:rPr>
        <w:t xml:space="preserve">200 </w:t>
      </w:r>
      <w:r w:rsidR="00A71E85" w:rsidRPr="00F7395B">
        <w:rPr>
          <w:rFonts w:ascii="Symbol" w:hAnsi="Symbol"/>
          <w:lang w:val="en-US" w:eastAsia="de-DE"/>
        </w:rPr>
        <w:t></w:t>
      </w:r>
      <w:r w:rsidR="00A71E85">
        <w:rPr>
          <w:lang w:val="en-US" w:eastAsia="de-DE"/>
        </w:rPr>
        <w:t xml:space="preserve">m </w:t>
      </w:r>
      <w:r w:rsidR="007F530D">
        <w:rPr>
          <w:lang w:val="en-US" w:eastAsia="de-DE"/>
        </w:rPr>
        <w:t>to</w:t>
      </w:r>
      <w:r w:rsidR="00700662">
        <w:rPr>
          <w:lang w:val="en-US" w:eastAsia="de-DE"/>
        </w:rPr>
        <w:t xml:space="preserve"> </w:t>
      </w:r>
      <w:r w:rsidR="00B0736C">
        <w:rPr>
          <w:lang w:val="en-US" w:eastAsia="de-DE"/>
        </w:rPr>
        <w:t xml:space="preserve">50 </w:t>
      </w:r>
      <w:r w:rsidR="00B0736C" w:rsidRPr="00F7395B">
        <w:rPr>
          <w:rFonts w:ascii="Symbol" w:hAnsi="Symbol"/>
          <w:lang w:val="en-US" w:eastAsia="de-DE"/>
        </w:rPr>
        <w:t></w:t>
      </w:r>
      <w:r w:rsidR="00B0736C">
        <w:rPr>
          <w:lang w:val="en-US" w:eastAsia="de-DE"/>
        </w:rPr>
        <w:t xml:space="preserve">m </w:t>
      </w:r>
      <w:r w:rsidR="00B0736C" w:rsidRPr="00C76DFB">
        <w:rPr>
          <w:lang w:val="en-US" w:eastAsia="de-DE"/>
        </w:rPr>
        <w:t>above the glass filter (</w:t>
      </w:r>
      <w:r w:rsidR="00002336">
        <w:rPr>
          <w:lang w:val="en-US" w:eastAsia="de-DE"/>
        </w:rPr>
        <w:t>Figure 4, C</w:t>
      </w:r>
      <w:r w:rsidR="00B0736C" w:rsidRPr="00C76DFB">
        <w:rPr>
          <w:lang w:val="en-US" w:eastAsia="de-DE"/>
        </w:rPr>
        <w:t>)</w:t>
      </w:r>
      <w:r w:rsidR="00A71E85">
        <w:rPr>
          <w:lang w:val="en-US" w:eastAsia="de-DE"/>
        </w:rPr>
        <w:t xml:space="preserve"> depending on the diameter of the outlet needle (1 mm </w:t>
      </w:r>
      <w:r w:rsidR="007F530D">
        <w:rPr>
          <w:lang w:val="en-US" w:eastAsia="de-DE"/>
        </w:rPr>
        <w:t>to</w:t>
      </w:r>
      <w:r w:rsidR="00A71E85">
        <w:rPr>
          <w:lang w:val="en-US" w:eastAsia="de-DE"/>
        </w:rPr>
        <w:t xml:space="preserve"> 0.3 mm). </w:t>
      </w:r>
      <w:r w:rsidR="00373DA6">
        <w:rPr>
          <w:lang w:val="en-US" w:eastAsia="de-DE"/>
        </w:rPr>
        <w:t>At low flow rates, t</w:t>
      </w:r>
      <w:r w:rsidR="00B0736C" w:rsidRPr="00C76DFB">
        <w:rPr>
          <w:lang w:val="en-US" w:eastAsia="de-DE"/>
        </w:rPr>
        <w:t>he water enters the measurement beaker</w:t>
      </w:r>
      <w:r w:rsidR="00A71E85">
        <w:rPr>
          <w:lang w:val="en-US" w:eastAsia="de-DE"/>
        </w:rPr>
        <w:t xml:space="preserve"> and t</w:t>
      </w:r>
      <w:r w:rsidR="00B0736C" w:rsidRPr="00C76DFB">
        <w:rPr>
          <w:lang w:val="en-US" w:eastAsia="de-DE"/>
        </w:rPr>
        <w:t xml:space="preserve">he capillary force </w:t>
      </w:r>
      <w:r w:rsidR="00B0736C">
        <w:rPr>
          <w:lang w:val="en-US" w:eastAsia="de-DE"/>
        </w:rPr>
        <w:t>in the glass filters sucks</w:t>
      </w:r>
      <w:r w:rsidR="00B0736C" w:rsidRPr="00C76DFB">
        <w:rPr>
          <w:lang w:val="en-US" w:eastAsia="de-DE"/>
        </w:rPr>
        <w:t xml:space="preserve"> the water in before any droplet can be formed at the surface.</w:t>
      </w:r>
      <w:r w:rsidR="00A71E85">
        <w:rPr>
          <w:lang w:val="en-US" w:eastAsia="de-DE"/>
        </w:rPr>
        <w:t xml:space="preserve"> </w:t>
      </w:r>
      <w:r w:rsidR="00A71E85" w:rsidRPr="00C76DFB">
        <w:rPr>
          <w:lang w:val="en-US" w:eastAsia="de-DE"/>
        </w:rPr>
        <w:t xml:space="preserve">The water </w:t>
      </w:r>
      <w:r w:rsidR="00373DA6">
        <w:rPr>
          <w:lang w:val="en-US" w:eastAsia="de-DE"/>
        </w:rPr>
        <w:t>finds</w:t>
      </w:r>
      <w:r w:rsidR="00A71E85" w:rsidRPr="00C76DFB">
        <w:rPr>
          <w:lang w:val="en-US" w:eastAsia="de-DE"/>
        </w:rPr>
        <w:t xml:space="preserve"> </w:t>
      </w:r>
      <w:r w:rsidR="00A71E85">
        <w:rPr>
          <w:lang w:val="en-US" w:eastAsia="de-DE"/>
        </w:rPr>
        <w:t>its</w:t>
      </w:r>
      <w:r w:rsidR="00A71E85" w:rsidRPr="00C76DFB">
        <w:rPr>
          <w:lang w:val="en-US" w:eastAsia="de-DE"/>
        </w:rPr>
        <w:t xml:space="preserve"> way through the glass filter and continu</w:t>
      </w:r>
      <w:r w:rsidR="00A71E85">
        <w:rPr>
          <w:lang w:val="en-US" w:eastAsia="de-DE"/>
        </w:rPr>
        <w:t xml:space="preserve">es in the </w:t>
      </w:r>
      <w:r w:rsidR="00A71E85" w:rsidRPr="00C76DFB">
        <w:rPr>
          <w:lang w:val="en-US" w:eastAsia="de-DE"/>
        </w:rPr>
        <w:t>bulk</w:t>
      </w:r>
      <w:r w:rsidR="00A71E85">
        <w:rPr>
          <w:lang w:val="en-US" w:eastAsia="de-DE"/>
        </w:rPr>
        <w:t xml:space="preserve"> of water at the bottom of the beaker. If the flow rate is higher, the water jet hits the surface of the glass filter and the water flow</w:t>
      </w:r>
      <w:r w:rsidR="006E4B91">
        <w:rPr>
          <w:lang w:val="en-US" w:eastAsia="de-DE"/>
        </w:rPr>
        <w:t>s</w:t>
      </w:r>
      <w:r w:rsidR="00A71E85">
        <w:rPr>
          <w:lang w:val="en-US" w:eastAsia="de-DE"/>
        </w:rPr>
        <w:t xml:space="preserve"> down at the surface of the glass filter.</w:t>
      </w:r>
      <w:r w:rsidR="00B0736C">
        <w:rPr>
          <w:lang w:val="en-US" w:eastAsia="de-DE"/>
        </w:rPr>
        <w:t xml:space="preserve"> </w:t>
      </w:r>
      <w:r w:rsidR="00373DA6">
        <w:rPr>
          <w:lang w:val="en-US" w:eastAsia="de-DE"/>
        </w:rPr>
        <w:t xml:space="preserve">In both cases the forces due to the water bridge are constant in time and they do not influence the measurement. </w:t>
      </w:r>
      <w:r w:rsidR="00B0736C" w:rsidRPr="00C76DFB">
        <w:rPr>
          <w:lang w:val="en-US" w:eastAsia="de-DE"/>
        </w:rPr>
        <w:t>With this setup</w:t>
      </w:r>
      <w:r w:rsidR="00B0736C">
        <w:rPr>
          <w:lang w:val="en-US" w:eastAsia="de-DE"/>
        </w:rPr>
        <w:t>,</w:t>
      </w:r>
      <w:r w:rsidR="00700662">
        <w:rPr>
          <w:lang w:val="en-US" w:eastAsia="de-DE"/>
        </w:rPr>
        <w:t xml:space="preserve"> </w:t>
      </w:r>
      <w:r w:rsidR="00002336">
        <w:rPr>
          <w:lang w:val="en-US" w:eastAsia="de-DE"/>
        </w:rPr>
        <w:t xml:space="preserve">a </w:t>
      </w:r>
      <w:r w:rsidR="00700662">
        <w:rPr>
          <w:lang w:val="en-US" w:eastAsia="de-DE"/>
        </w:rPr>
        <w:t>stable evaporation rate of</w:t>
      </w:r>
      <w:r w:rsidR="00B0736C" w:rsidRPr="00C76DFB">
        <w:rPr>
          <w:lang w:val="en-US" w:eastAsia="de-DE"/>
        </w:rPr>
        <w:t xml:space="preserve"> </w:t>
      </w:r>
      <w:r w:rsidR="00B0736C">
        <w:rPr>
          <w:lang w:val="en-US" w:eastAsia="de-DE"/>
        </w:rPr>
        <w:t>(3.5 </w:t>
      </w:r>
      <w:r w:rsidR="00B0736C" w:rsidRPr="00C76DFB">
        <w:rPr>
          <w:lang w:val="en-US" w:eastAsia="de-DE"/>
        </w:rPr>
        <w:t>±</w:t>
      </w:r>
      <w:r w:rsidR="00B0736C">
        <w:rPr>
          <w:lang w:val="en-US" w:eastAsia="de-DE"/>
        </w:rPr>
        <w:t> </w:t>
      </w:r>
      <w:r w:rsidR="00B0736C" w:rsidRPr="00C76DFB">
        <w:rPr>
          <w:lang w:val="en-US" w:eastAsia="de-DE"/>
        </w:rPr>
        <w:t>0.5</w:t>
      </w:r>
      <w:r w:rsidR="00B0736C">
        <w:rPr>
          <w:lang w:val="en-US" w:eastAsia="de-DE"/>
        </w:rPr>
        <w:t xml:space="preserve">) nl/min </w:t>
      </w:r>
      <w:r w:rsidR="006E4B91">
        <w:rPr>
          <w:lang w:val="en-US" w:eastAsia="de-DE"/>
        </w:rPr>
        <w:t xml:space="preserve">for water </w:t>
      </w:r>
      <w:r w:rsidR="00002336">
        <w:rPr>
          <w:lang w:val="en-US" w:eastAsia="de-DE"/>
        </w:rPr>
        <w:t xml:space="preserve">is </w:t>
      </w:r>
      <w:r w:rsidR="00700662">
        <w:rPr>
          <w:lang w:val="en-US" w:eastAsia="de-DE"/>
        </w:rPr>
        <w:t>achieved</w:t>
      </w:r>
      <w:r w:rsidR="00ED7EB1">
        <w:rPr>
          <w:lang w:val="en-US" w:eastAsia="de-DE"/>
        </w:rPr>
        <w:t xml:space="preserve"> and hardly contributes to the uncertainty</w:t>
      </w:r>
      <w:r w:rsidR="00700662">
        <w:rPr>
          <w:lang w:val="en-US" w:eastAsia="de-DE"/>
        </w:rPr>
        <w:t>.</w:t>
      </w:r>
    </w:p>
    <w:p w:rsidR="00C7073B" w:rsidRDefault="00C7073B">
      <w:pPr>
        <w:pStyle w:val="BodyText"/>
      </w:pPr>
    </w:p>
    <w:p w:rsidR="00C7073B" w:rsidRDefault="00590AB3">
      <w:pPr>
        <w:pStyle w:val="BodyText"/>
      </w:pPr>
      <w:r>
        <w:rPr>
          <w:noProof/>
          <w:lang w:val="de-CH" w:eastAsia="de-CH"/>
        </w:rPr>
        <w:drawing>
          <wp:inline distT="0" distB="0" distL="0" distR="0" wp14:anchorId="2BB10E97" wp14:editId="42897BDD">
            <wp:extent cx="2876550" cy="1866900"/>
            <wp:effectExtent l="0" t="0" r="0" b="0"/>
            <wp:docPr id="8" name="Picture 8" descr="S:\_135 Durchfluss_Hydrometrie\35_Konferenzen_Vortraege_Publikationen\2016\2016_09_26_29_Flomeko_Sydney\Pictures\Cross_Section_Beaker_MET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_135 Durchfluss_Hydrometrie\35_Konferenzen_Vortraege_Publikationen\2016\2016_09_26_29_Flomeko_Sydney\Pictures\Cross_Section_Beaker_METAS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1866900"/>
                    </a:xfrm>
                    <a:prstGeom prst="rect">
                      <a:avLst/>
                    </a:prstGeom>
                    <a:noFill/>
                    <a:ln>
                      <a:noFill/>
                    </a:ln>
                  </pic:spPr>
                </pic:pic>
              </a:graphicData>
            </a:graphic>
          </wp:inline>
        </w:drawing>
      </w:r>
    </w:p>
    <w:p w:rsidR="00764F26" w:rsidRDefault="00764F26" w:rsidP="00953E1A">
      <w:pPr>
        <w:pStyle w:val="Caption"/>
      </w:pPr>
      <w:r>
        <w:t xml:space="preserve">Figure 4: </w:t>
      </w:r>
      <w:r w:rsidRPr="00764F26">
        <w:rPr>
          <w:b w:val="0"/>
        </w:rPr>
        <w:t xml:space="preserve">Weighing zone on the balance. </w:t>
      </w:r>
      <w:r>
        <w:rPr>
          <w:b w:val="0"/>
        </w:rPr>
        <w:t xml:space="preserve">(A) </w:t>
      </w:r>
      <w:r w:rsidR="00917194">
        <w:rPr>
          <w:b w:val="0"/>
        </w:rPr>
        <w:t>outlet needle, (B) beaker with cover, (C) glass filter, (D) water in evaporation trap, (E) mount for T and rH sensor, (F) balance, (G) tubing for humidity exchanger.</w:t>
      </w:r>
    </w:p>
    <w:p w:rsidR="00C7073B" w:rsidRDefault="00C7073B">
      <w:pPr>
        <w:pStyle w:val="BodyText"/>
      </w:pPr>
    </w:p>
    <w:p w:rsidR="008960BD" w:rsidRDefault="008960BD" w:rsidP="008960BD">
      <w:pPr>
        <w:pStyle w:val="Heading1"/>
      </w:pPr>
      <w:r>
        <w:t>3. Dynamic gravimetric method</w:t>
      </w:r>
    </w:p>
    <w:p w:rsidR="00373DA6" w:rsidRPr="00373DA6" w:rsidRDefault="00373DA6" w:rsidP="00373DA6">
      <w:pPr>
        <w:rPr>
          <w:sz w:val="20"/>
        </w:rPr>
      </w:pPr>
    </w:p>
    <w:p w:rsidR="00C867B5" w:rsidRPr="00C76DFB" w:rsidRDefault="00C867B5" w:rsidP="00C867B5">
      <w:pPr>
        <w:jc w:val="both"/>
        <w:rPr>
          <w:sz w:val="20"/>
          <w:lang w:val="en-US" w:eastAsia="de-DE"/>
        </w:rPr>
      </w:pPr>
      <w:r w:rsidRPr="00C76DFB">
        <w:rPr>
          <w:sz w:val="20"/>
          <w:lang w:val="en-US" w:eastAsia="de-DE"/>
        </w:rPr>
        <w:t xml:space="preserve">The measurements are performed by means of the </w:t>
      </w:r>
      <w:r>
        <w:rPr>
          <w:sz w:val="20"/>
          <w:lang w:val="en-US" w:eastAsia="de-DE"/>
        </w:rPr>
        <w:t xml:space="preserve">dynamic </w:t>
      </w:r>
      <w:r w:rsidRPr="00C76DFB">
        <w:rPr>
          <w:sz w:val="20"/>
          <w:lang w:val="en-US" w:eastAsia="de-DE"/>
        </w:rPr>
        <w:t xml:space="preserve">gravimetric flying start-stop method. This means that the desired flow rate is set and the </w:t>
      </w:r>
      <w:r>
        <w:rPr>
          <w:sz w:val="20"/>
          <w:lang w:val="en-US" w:eastAsia="de-DE"/>
        </w:rPr>
        <w:t xml:space="preserve">data </w:t>
      </w:r>
      <w:r w:rsidRPr="00C76DFB">
        <w:rPr>
          <w:sz w:val="20"/>
          <w:lang w:val="en-US" w:eastAsia="de-DE"/>
        </w:rPr>
        <w:t>acquisition is only started once the flow rate has reached a steady state. The</w:t>
      </w:r>
      <w:r>
        <w:rPr>
          <w:sz w:val="20"/>
          <w:lang w:val="en-US" w:eastAsia="de-DE"/>
        </w:rPr>
        <w:t xml:space="preserve">refore, the </w:t>
      </w:r>
      <w:r w:rsidRPr="00C76DFB">
        <w:rPr>
          <w:sz w:val="20"/>
          <w:lang w:val="en-US" w:eastAsia="de-DE"/>
        </w:rPr>
        <w:t xml:space="preserve">measurement beaker is continuously filled with water and the weighing data are continuously collected </w:t>
      </w:r>
      <w:r w:rsidR="00F42869">
        <w:rPr>
          <w:sz w:val="20"/>
          <w:lang w:val="en-US" w:eastAsia="de-DE"/>
        </w:rPr>
        <w:t>by a real time system</w:t>
      </w:r>
      <w:r w:rsidR="00C7073B">
        <w:rPr>
          <w:sz w:val="20"/>
          <w:lang w:val="en-US" w:eastAsia="de-DE"/>
        </w:rPr>
        <w:t xml:space="preserve"> (RT)</w:t>
      </w:r>
      <w:r w:rsidR="00F42869">
        <w:rPr>
          <w:sz w:val="20"/>
          <w:lang w:val="en-US" w:eastAsia="de-DE"/>
        </w:rPr>
        <w:t>, which communicates with the balance</w:t>
      </w:r>
      <w:r w:rsidR="00B70ADD">
        <w:rPr>
          <w:sz w:val="20"/>
          <w:lang w:val="en-US" w:eastAsia="de-DE"/>
        </w:rPr>
        <w:t xml:space="preserve"> at 10 Hz</w:t>
      </w:r>
      <w:r w:rsidR="00C7073B">
        <w:rPr>
          <w:sz w:val="20"/>
          <w:lang w:val="en-US" w:eastAsia="de-DE"/>
        </w:rPr>
        <w:t xml:space="preserve">. The weight value is directly paired with the time stamp of the RT. </w:t>
      </w:r>
      <w:r>
        <w:rPr>
          <w:sz w:val="20"/>
          <w:lang w:val="en-US" w:eastAsia="de-DE"/>
        </w:rPr>
        <w:t>The other sensor values such as water pressure upstream and downstream of the DUT, the water temperature at various positions and the ambient conditions are recorded as well.</w:t>
      </w:r>
    </w:p>
    <w:p w:rsidR="008960BD" w:rsidRDefault="008960BD" w:rsidP="008960BD">
      <w:pPr>
        <w:pStyle w:val="BodyText"/>
        <w:rPr>
          <w:lang w:val="en-US"/>
        </w:rPr>
      </w:pPr>
    </w:p>
    <w:p w:rsidR="008960BD" w:rsidRDefault="008960BD" w:rsidP="008960BD">
      <w:pPr>
        <w:pStyle w:val="BodyText"/>
        <w:rPr>
          <w:i/>
        </w:rPr>
      </w:pPr>
      <w:bookmarkStart w:id="0" w:name="_GoBack"/>
      <w:bookmarkEnd w:id="0"/>
      <w:r>
        <w:rPr>
          <w:i/>
        </w:rPr>
        <w:lastRenderedPageBreak/>
        <w:t>3</w:t>
      </w:r>
      <w:r w:rsidRPr="00F62060">
        <w:rPr>
          <w:i/>
        </w:rPr>
        <w:t>.</w:t>
      </w:r>
      <w:r>
        <w:rPr>
          <w:i/>
        </w:rPr>
        <w:t>1</w:t>
      </w:r>
      <w:r w:rsidRPr="00F62060">
        <w:rPr>
          <w:i/>
        </w:rPr>
        <w:t xml:space="preserve"> </w:t>
      </w:r>
      <w:r>
        <w:rPr>
          <w:i/>
        </w:rPr>
        <w:t>Determination of flow rate</w:t>
      </w:r>
    </w:p>
    <w:p w:rsidR="00C867B5" w:rsidRDefault="00C867B5" w:rsidP="00C867B5">
      <w:pPr>
        <w:jc w:val="both"/>
        <w:rPr>
          <w:sz w:val="20"/>
          <w:lang w:val="en-US" w:eastAsia="de-DE"/>
        </w:rPr>
      </w:pPr>
      <w:r w:rsidRPr="00C76DFB">
        <w:rPr>
          <w:sz w:val="20"/>
          <w:lang w:val="en-US" w:eastAsia="de-DE"/>
        </w:rPr>
        <w:t xml:space="preserve">The collected weighing data are then fitted by means of </w:t>
      </w:r>
      <w:r w:rsidR="00FE25DD">
        <w:rPr>
          <w:sz w:val="20"/>
          <w:lang w:val="en-US" w:eastAsia="de-DE"/>
        </w:rPr>
        <w:t>a</w:t>
      </w:r>
      <w:r w:rsidR="00DD0552">
        <w:rPr>
          <w:sz w:val="20"/>
          <w:lang w:val="en-US" w:eastAsia="de-DE"/>
        </w:rPr>
        <w:t xml:space="preserve"> least square linear fit. </w:t>
      </w:r>
      <w:r w:rsidRPr="000B0E0B">
        <w:rPr>
          <w:sz w:val="20"/>
          <w:lang w:val="en-US" w:eastAsia="de-DE"/>
        </w:rPr>
        <w:t>Flow rate determination is be</w:t>
      </w:r>
      <w:r w:rsidR="000B0E0B">
        <w:rPr>
          <w:sz w:val="20"/>
          <w:lang w:val="en-US" w:eastAsia="de-DE"/>
        </w:rPr>
        <w:t xml:space="preserve">st explained using an example. </w:t>
      </w:r>
      <w:r w:rsidRPr="000B0E0B">
        <w:rPr>
          <w:sz w:val="20"/>
          <w:lang w:val="en-US" w:eastAsia="de-DE"/>
        </w:rPr>
        <w:t xml:space="preserve">A fixed time window of </w:t>
      </w:r>
      <w:r w:rsidR="000B0E0B" w:rsidRPr="000B0E0B">
        <w:rPr>
          <w:sz w:val="20"/>
          <w:lang w:val="en-US" w:eastAsia="de-DE"/>
        </w:rPr>
        <w:t>10 seconds</w:t>
      </w:r>
      <w:r w:rsidRPr="000B0E0B">
        <w:rPr>
          <w:sz w:val="20"/>
          <w:lang w:val="en-US" w:eastAsia="de-DE"/>
        </w:rPr>
        <w:t xml:space="preserve"> </w:t>
      </w:r>
      <w:r w:rsidR="001162A5" w:rsidRPr="000B0E0B">
        <w:rPr>
          <w:sz w:val="20"/>
          <w:lang w:val="en-US" w:eastAsia="de-DE"/>
        </w:rPr>
        <w:t xml:space="preserve">is chosen </w:t>
      </w:r>
      <w:r w:rsidRPr="000B0E0B">
        <w:rPr>
          <w:sz w:val="20"/>
          <w:lang w:val="en-US" w:eastAsia="de-DE"/>
        </w:rPr>
        <w:t xml:space="preserve">for the </w:t>
      </w:r>
      <w:r w:rsidR="000B0E0B">
        <w:rPr>
          <w:sz w:val="20"/>
          <w:lang w:val="en-US" w:eastAsia="de-DE"/>
        </w:rPr>
        <w:t xml:space="preserve">determination of the instantaneous </w:t>
      </w:r>
      <w:r w:rsidRPr="000B0E0B">
        <w:rPr>
          <w:sz w:val="20"/>
          <w:lang w:val="en-US" w:eastAsia="de-DE"/>
        </w:rPr>
        <w:t xml:space="preserve">flow rate, shown in Figure 5 as </w:t>
      </w:r>
      <w:r w:rsidR="000B0E0B">
        <w:rPr>
          <w:sz w:val="20"/>
          <w:lang w:val="en-US" w:eastAsia="de-DE"/>
        </w:rPr>
        <w:t>green and orange</w:t>
      </w:r>
      <w:r w:rsidRPr="000B0E0B">
        <w:rPr>
          <w:sz w:val="20"/>
          <w:lang w:val="en-US" w:eastAsia="de-DE"/>
        </w:rPr>
        <w:t xml:space="preserve"> portion</w:t>
      </w:r>
      <w:r w:rsidR="001162A5">
        <w:rPr>
          <w:sz w:val="20"/>
          <w:lang w:val="en-US" w:eastAsia="de-DE"/>
        </w:rPr>
        <w:t xml:space="preserve"> on the black curve</w:t>
      </w:r>
      <w:r w:rsidR="00FE25DD">
        <w:rPr>
          <w:sz w:val="20"/>
          <w:lang w:val="en-US" w:eastAsia="de-DE"/>
        </w:rPr>
        <w:t xml:space="preserve"> showing the weighing value</w:t>
      </w:r>
      <w:r w:rsidR="000B0E0B">
        <w:rPr>
          <w:sz w:val="20"/>
          <w:lang w:val="en-US" w:eastAsia="de-DE"/>
        </w:rPr>
        <w:t xml:space="preserve">. </w:t>
      </w:r>
      <w:r w:rsidRPr="000B0E0B">
        <w:rPr>
          <w:sz w:val="20"/>
          <w:lang w:val="en-US" w:eastAsia="de-DE"/>
        </w:rPr>
        <w:t xml:space="preserve">The resulting mass flow rates are then converted to volume flow rates </w:t>
      </w:r>
      <w:r w:rsidR="001162A5">
        <w:rPr>
          <w:sz w:val="20"/>
          <w:lang w:val="en-US" w:eastAsia="de-DE"/>
        </w:rPr>
        <w:t xml:space="preserve">including all corrections </w:t>
      </w:r>
      <w:r w:rsidR="00FE25DD">
        <w:rPr>
          <w:sz w:val="20"/>
          <w:lang w:val="en-US" w:eastAsia="de-DE"/>
        </w:rPr>
        <w:t xml:space="preserve">(evaporation, buoyancy, etc.) </w:t>
      </w:r>
      <w:r w:rsidRPr="000B0E0B">
        <w:rPr>
          <w:sz w:val="20"/>
          <w:lang w:val="en-US" w:eastAsia="de-DE"/>
        </w:rPr>
        <w:t xml:space="preserve">and are shown in Figure 6 as </w:t>
      </w:r>
      <w:r w:rsidR="001162A5">
        <w:rPr>
          <w:sz w:val="20"/>
          <w:lang w:val="en-US" w:eastAsia="de-DE"/>
        </w:rPr>
        <w:t>green and orange triangle</w:t>
      </w:r>
      <w:r w:rsidRPr="000B0E0B">
        <w:rPr>
          <w:sz w:val="20"/>
          <w:lang w:val="en-US" w:eastAsia="de-DE"/>
        </w:rPr>
        <w:t xml:space="preserve"> with their uncertainties. The time stamp of the determined volume flow rate of each fixed time window is the center time of these data. This guarantees that any strong change in the flow rate is detected at the occurring time independently o</w:t>
      </w:r>
      <w:r w:rsidR="00FE25DD">
        <w:rPr>
          <w:sz w:val="20"/>
          <w:lang w:val="en-US" w:eastAsia="de-DE"/>
        </w:rPr>
        <w:t>f</w:t>
      </w:r>
      <w:r w:rsidRPr="000B0E0B">
        <w:rPr>
          <w:sz w:val="20"/>
          <w:lang w:val="en-US" w:eastAsia="de-DE"/>
        </w:rPr>
        <w:t xml:space="preserve"> the chosen fixed time window. By increasing the starting time of this fixed time window by time steps corresponding to the acquisition rate of 10 Hz the </w:t>
      </w:r>
      <w:r w:rsidR="00FE25DD">
        <w:rPr>
          <w:sz w:val="20"/>
          <w:lang w:val="en-US" w:eastAsia="de-DE"/>
        </w:rPr>
        <w:t>moving average</w:t>
      </w:r>
      <w:r w:rsidRPr="000B0E0B">
        <w:rPr>
          <w:sz w:val="20"/>
          <w:lang w:val="en-US" w:eastAsia="de-DE"/>
        </w:rPr>
        <w:t xml:space="preserve"> of the flow rate in time can be followed. Applying this to the collected weighing data shown in Figure 5</w:t>
      </w:r>
      <w:r w:rsidR="001162A5">
        <w:rPr>
          <w:sz w:val="20"/>
          <w:lang w:val="en-US" w:eastAsia="de-DE"/>
        </w:rPr>
        <w:t xml:space="preserve"> (black line)</w:t>
      </w:r>
      <w:r w:rsidRPr="000B0E0B">
        <w:rPr>
          <w:sz w:val="20"/>
          <w:lang w:val="en-US" w:eastAsia="de-DE"/>
        </w:rPr>
        <w:t>, the evolution in time of the volume flow rate is obtained, as shown in Figure 6</w:t>
      </w:r>
      <w:r w:rsidR="001162A5">
        <w:rPr>
          <w:sz w:val="20"/>
          <w:lang w:val="en-US" w:eastAsia="de-DE"/>
        </w:rPr>
        <w:t xml:space="preserve"> (black line)</w:t>
      </w:r>
      <w:r w:rsidRPr="000B0E0B">
        <w:rPr>
          <w:sz w:val="20"/>
          <w:lang w:val="en-US" w:eastAsia="de-DE"/>
        </w:rPr>
        <w:t>.</w:t>
      </w:r>
    </w:p>
    <w:p w:rsidR="001162A5" w:rsidRDefault="001162A5" w:rsidP="00C867B5">
      <w:pPr>
        <w:jc w:val="both"/>
        <w:rPr>
          <w:sz w:val="20"/>
          <w:lang w:val="en-US" w:eastAsia="de-DE"/>
        </w:rPr>
      </w:pPr>
    </w:p>
    <w:p w:rsidR="0028722D" w:rsidRDefault="0028722D" w:rsidP="00C867B5">
      <w:pPr>
        <w:jc w:val="both"/>
        <w:rPr>
          <w:sz w:val="20"/>
          <w:lang w:val="en-US" w:eastAsia="de-DE"/>
        </w:rPr>
      </w:pPr>
      <w:r>
        <w:rPr>
          <w:noProof/>
          <w:sz w:val="20"/>
          <w:lang w:val="de-CH" w:eastAsia="de-CH"/>
        </w:rPr>
        <w:drawing>
          <wp:inline distT="0" distB="0" distL="0" distR="0">
            <wp:extent cx="2876550" cy="1504950"/>
            <wp:effectExtent l="0" t="0" r="0" b="0"/>
            <wp:docPr id="12" name="Picture 12" descr="S:\_135 Durchfluss_Hydrometrie\60_Projekte\20_Investitionen\I-5135.40038_Milli_Flow\Charakterisierung_Messungen\__METAS\2016_06\Weight_Incr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135 Durchfluss_Hydrometrie\60_Projekte\20_Investitionen\I-5135.40038_Milli_Flow\Charakterisierung_Messungen\__METAS\2016_06\Weight_Increas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1504950"/>
                    </a:xfrm>
                    <a:prstGeom prst="rect">
                      <a:avLst/>
                    </a:prstGeom>
                    <a:noFill/>
                    <a:ln>
                      <a:noFill/>
                    </a:ln>
                  </pic:spPr>
                </pic:pic>
              </a:graphicData>
            </a:graphic>
          </wp:inline>
        </w:drawing>
      </w:r>
    </w:p>
    <w:p w:rsidR="001162A5" w:rsidRDefault="001162A5" w:rsidP="00953E1A">
      <w:pPr>
        <w:pStyle w:val="Caption"/>
      </w:pPr>
      <w:r>
        <w:t>Figure 5</w:t>
      </w:r>
      <w:r w:rsidR="000F6844">
        <w:t xml:space="preserve">: </w:t>
      </w:r>
      <w:r w:rsidR="000F6844" w:rsidRPr="000F6844">
        <w:rPr>
          <w:b w:val="0"/>
          <w:szCs w:val="16"/>
          <w:lang w:val="en-US"/>
        </w:rPr>
        <w:t xml:space="preserve">Increase of mass </w:t>
      </w:r>
      <w:r w:rsidR="000F6844">
        <w:rPr>
          <w:b w:val="0"/>
          <w:szCs w:val="16"/>
          <w:lang w:val="en-US"/>
        </w:rPr>
        <w:t xml:space="preserve">on the balance (black line) and increase of the position of the linear measuring system (red line) </w:t>
      </w:r>
      <w:r w:rsidR="000F6844" w:rsidRPr="000F6844">
        <w:rPr>
          <w:b w:val="0"/>
          <w:szCs w:val="16"/>
          <w:lang w:val="en-US"/>
        </w:rPr>
        <w:t xml:space="preserve">as a function of time. Two </w:t>
      </w:r>
      <w:r w:rsidR="000F6844">
        <w:rPr>
          <w:b w:val="0"/>
          <w:szCs w:val="16"/>
          <w:lang w:val="en-US"/>
        </w:rPr>
        <w:t>fixed time</w:t>
      </w:r>
      <w:r w:rsidR="000F6844" w:rsidRPr="000F6844">
        <w:rPr>
          <w:b w:val="0"/>
          <w:szCs w:val="16"/>
          <w:lang w:val="en-US"/>
        </w:rPr>
        <w:t xml:space="preserve"> window of </w:t>
      </w:r>
      <w:r w:rsidR="000F6844">
        <w:rPr>
          <w:b w:val="0"/>
          <w:szCs w:val="16"/>
          <w:lang w:val="en-US"/>
        </w:rPr>
        <w:t xml:space="preserve">10 seconds </w:t>
      </w:r>
      <w:r w:rsidR="000F6844" w:rsidRPr="000F6844">
        <w:rPr>
          <w:b w:val="0"/>
          <w:szCs w:val="16"/>
          <w:lang w:val="en-US"/>
        </w:rPr>
        <w:t xml:space="preserve">are shown in </w:t>
      </w:r>
      <w:r w:rsidR="000F6844">
        <w:rPr>
          <w:b w:val="0"/>
          <w:szCs w:val="16"/>
          <w:lang w:val="en-US"/>
        </w:rPr>
        <w:t>green and orange on the black line.</w:t>
      </w:r>
    </w:p>
    <w:p w:rsidR="0028722D" w:rsidRPr="001162A5" w:rsidRDefault="0028722D" w:rsidP="00C867B5">
      <w:pPr>
        <w:jc w:val="both"/>
        <w:rPr>
          <w:sz w:val="20"/>
          <w:lang w:eastAsia="de-DE"/>
        </w:rPr>
      </w:pPr>
    </w:p>
    <w:p w:rsidR="0028722D" w:rsidRDefault="00CE14CA" w:rsidP="00C867B5">
      <w:pPr>
        <w:jc w:val="both"/>
        <w:rPr>
          <w:sz w:val="20"/>
          <w:lang w:val="en-US" w:eastAsia="de-DE"/>
        </w:rPr>
      </w:pPr>
      <w:r>
        <w:rPr>
          <w:noProof/>
          <w:sz w:val="20"/>
          <w:lang w:val="de-CH" w:eastAsia="de-CH"/>
        </w:rPr>
        <w:drawing>
          <wp:inline distT="0" distB="0" distL="0" distR="0">
            <wp:extent cx="2880360" cy="15093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_Rate_detai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360" cy="1509395"/>
                    </a:xfrm>
                    <a:prstGeom prst="rect">
                      <a:avLst/>
                    </a:prstGeom>
                  </pic:spPr>
                </pic:pic>
              </a:graphicData>
            </a:graphic>
          </wp:inline>
        </w:drawing>
      </w:r>
    </w:p>
    <w:p w:rsidR="001162A5" w:rsidRDefault="001162A5" w:rsidP="00953E1A">
      <w:pPr>
        <w:pStyle w:val="Caption"/>
      </w:pPr>
      <w:r>
        <w:t xml:space="preserve">Figure 6: </w:t>
      </w:r>
      <w:r w:rsidR="00CE14CA" w:rsidRPr="00CE14CA">
        <w:rPr>
          <w:b w:val="0"/>
          <w:szCs w:val="16"/>
          <w:lang w:val="en-US"/>
        </w:rPr>
        <w:t xml:space="preserve">The determined volume flow rate </w:t>
      </w:r>
      <w:r w:rsidR="00CE14CA">
        <w:rPr>
          <w:b w:val="0"/>
          <w:szCs w:val="16"/>
          <w:lang w:val="en-US"/>
        </w:rPr>
        <w:t xml:space="preserve">of the balance (black line) and of the syringe pump (red line) </w:t>
      </w:r>
      <w:r w:rsidR="00CE14CA" w:rsidRPr="00CE14CA">
        <w:rPr>
          <w:b w:val="0"/>
          <w:szCs w:val="16"/>
          <w:lang w:val="en-US"/>
        </w:rPr>
        <w:t xml:space="preserve">as a function of time. The </w:t>
      </w:r>
      <w:r w:rsidR="00CE14CA">
        <w:rPr>
          <w:b w:val="0"/>
          <w:szCs w:val="16"/>
          <w:lang w:val="en-US"/>
        </w:rPr>
        <w:t xml:space="preserve">green and the orange triangles </w:t>
      </w:r>
      <w:r w:rsidR="00CE14CA" w:rsidRPr="00CE14CA">
        <w:rPr>
          <w:b w:val="0"/>
          <w:szCs w:val="16"/>
          <w:lang w:val="en-US" w:eastAsia="de-DE"/>
        </w:rPr>
        <w:t xml:space="preserve">are the determined volume flow rates corresponding to the data in the </w:t>
      </w:r>
      <w:r w:rsidR="00CE14CA">
        <w:rPr>
          <w:b w:val="0"/>
          <w:szCs w:val="16"/>
          <w:lang w:val="en-US" w:eastAsia="de-DE"/>
        </w:rPr>
        <w:t xml:space="preserve">fixed </w:t>
      </w:r>
      <w:r w:rsidR="00CE14CA" w:rsidRPr="00CE14CA">
        <w:rPr>
          <w:b w:val="0"/>
          <w:szCs w:val="16"/>
          <w:lang w:val="en-US" w:eastAsia="de-DE"/>
        </w:rPr>
        <w:t>time windows (</w:t>
      </w:r>
      <w:r w:rsidR="00CE14CA">
        <w:rPr>
          <w:b w:val="0"/>
          <w:szCs w:val="16"/>
          <w:lang w:val="en-US"/>
        </w:rPr>
        <w:t>green and orange</w:t>
      </w:r>
      <w:r w:rsidR="00CE14CA" w:rsidRPr="00CE14CA">
        <w:rPr>
          <w:b w:val="0"/>
          <w:szCs w:val="16"/>
          <w:lang w:val="en-US" w:eastAsia="de-DE"/>
        </w:rPr>
        <w:t xml:space="preserve">) in Figure 5. </w:t>
      </w:r>
      <w:r w:rsidR="00CE14CA">
        <w:rPr>
          <w:b w:val="0"/>
          <w:szCs w:val="16"/>
          <w:lang w:val="en-US" w:eastAsia="de-DE"/>
        </w:rPr>
        <w:t xml:space="preserve">The background in gray illustrates the </w:t>
      </w:r>
      <w:r w:rsidR="00621238">
        <w:rPr>
          <w:b w:val="0"/>
          <w:szCs w:val="16"/>
          <w:lang w:val="en-US" w:eastAsia="de-DE"/>
        </w:rPr>
        <w:t>time window where the flow rate is considered to be in steady state</w:t>
      </w:r>
      <w:r w:rsidR="00C31175">
        <w:rPr>
          <w:b w:val="0"/>
          <w:szCs w:val="16"/>
          <w:lang w:val="en-US" w:eastAsia="de-DE"/>
        </w:rPr>
        <w:t xml:space="preserve"> after </w:t>
      </w:r>
      <w:r w:rsidR="00AA2112">
        <w:rPr>
          <w:b w:val="0"/>
          <w:szCs w:val="16"/>
          <w:lang w:val="en-US" w:eastAsia="de-DE"/>
        </w:rPr>
        <w:t>the</w:t>
      </w:r>
      <w:r w:rsidR="00C31175">
        <w:rPr>
          <w:b w:val="0"/>
          <w:szCs w:val="16"/>
          <w:lang w:val="en-US" w:eastAsia="de-DE"/>
        </w:rPr>
        <w:t xml:space="preserve"> stabilization time</w:t>
      </w:r>
      <w:r w:rsidR="00621238">
        <w:rPr>
          <w:b w:val="0"/>
          <w:szCs w:val="16"/>
          <w:lang w:val="en-US" w:eastAsia="de-DE"/>
        </w:rPr>
        <w:t>.</w:t>
      </w:r>
    </w:p>
    <w:p w:rsidR="001F3DD2" w:rsidRDefault="001F3DD2" w:rsidP="001F3DD2">
      <w:pPr>
        <w:jc w:val="both"/>
        <w:rPr>
          <w:sz w:val="20"/>
          <w:lang w:val="en-US" w:eastAsia="de-DE"/>
        </w:rPr>
      </w:pPr>
    </w:p>
    <w:p w:rsidR="001F3DD2" w:rsidRPr="00C31175" w:rsidRDefault="001F3DD2" w:rsidP="001F3DD2">
      <w:pPr>
        <w:jc w:val="both"/>
        <w:rPr>
          <w:sz w:val="20"/>
          <w:lang w:val="en-US" w:eastAsia="de-DE"/>
        </w:rPr>
      </w:pPr>
      <w:r>
        <w:rPr>
          <w:sz w:val="20"/>
          <w:lang w:val="en-US" w:eastAsia="de-DE"/>
        </w:rPr>
        <w:t xml:space="preserve">The same procedure applies to the data of the linear measuring system, where the identical fixed time window is chosen. The </w:t>
      </w:r>
      <w:r w:rsidR="00FE25DD">
        <w:rPr>
          <w:sz w:val="20"/>
          <w:lang w:val="en-US" w:eastAsia="de-DE"/>
        </w:rPr>
        <w:t>change</w:t>
      </w:r>
      <w:r>
        <w:rPr>
          <w:sz w:val="20"/>
          <w:lang w:val="en-US" w:eastAsia="de-DE"/>
        </w:rPr>
        <w:t xml:space="preserve"> of the position in time shown in Figure 5 (red line) leads to the evolution in the flow rate shown in Figure 6 (red line), where the speed </w:t>
      </w:r>
      <w:r>
        <w:rPr>
          <w:sz w:val="20"/>
          <w:lang w:val="en-US" w:eastAsia="de-DE"/>
        </w:rPr>
        <w:lastRenderedPageBreak/>
        <w:t xml:space="preserve">of the syringe pump is multiplied by the cross section of the syringe to obtain the volume </w:t>
      </w:r>
      <w:r w:rsidRPr="00C31175">
        <w:rPr>
          <w:sz w:val="20"/>
          <w:lang w:val="en-US" w:eastAsia="de-DE"/>
        </w:rPr>
        <w:t xml:space="preserve">flow rate. </w:t>
      </w:r>
      <w:r w:rsidR="00FE25DD">
        <w:rPr>
          <w:sz w:val="20"/>
          <w:lang w:val="en-US" w:eastAsia="de-DE"/>
        </w:rPr>
        <w:t xml:space="preserve">The cross section is the nominal value from the manufacturer’s datasheet. </w:t>
      </w:r>
      <w:r w:rsidRPr="00C31175">
        <w:rPr>
          <w:sz w:val="20"/>
          <w:lang w:val="en-US" w:eastAsia="de-DE"/>
        </w:rPr>
        <w:t xml:space="preserve">The background in gray </w:t>
      </w:r>
      <w:r>
        <w:rPr>
          <w:sz w:val="20"/>
          <w:lang w:val="en-US" w:eastAsia="de-DE"/>
        </w:rPr>
        <w:t xml:space="preserve">in Figure 6 </w:t>
      </w:r>
      <w:r w:rsidRPr="00C31175">
        <w:rPr>
          <w:sz w:val="20"/>
          <w:lang w:val="en-US" w:eastAsia="de-DE"/>
        </w:rPr>
        <w:t>illustrates the time window</w:t>
      </w:r>
      <w:r>
        <w:rPr>
          <w:sz w:val="20"/>
          <w:lang w:val="en-US" w:eastAsia="de-DE"/>
        </w:rPr>
        <w:t>,</w:t>
      </w:r>
      <w:r w:rsidRPr="00C31175">
        <w:rPr>
          <w:sz w:val="20"/>
          <w:lang w:val="en-US" w:eastAsia="de-DE"/>
        </w:rPr>
        <w:t xml:space="preserve"> where the flow rate is considered to be in steady state after a stabilization time.</w:t>
      </w:r>
      <w:r>
        <w:rPr>
          <w:sz w:val="20"/>
          <w:lang w:val="en-US" w:eastAsia="de-DE"/>
        </w:rPr>
        <w:t xml:space="preserve"> Once the stabilization time is reached, the deviation of the flow rate of the syringe pump with respect to the flow rate determined by the dynamic gravimetric method can be calculated. Otherwise a systematic error on the deviation can be introduced, which is only dependent on the stabilization of the flow rate of the facility and not on the DUT itself. </w:t>
      </w:r>
    </w:p>
    <w:p w:rsidR="0028722D" w:rsidRDefault="0028722D" w:rsidP="00C867B5">
      <w:pPr>
        <w:jc w:val="both"/>
        <w:rPr>
          <w:sz w:val="20"/>
          <w:lang w:val="en-US" w:eastAsia="de-DE"/>
        </w:rPr>
      </w:pPr>
    </w:p>
    <w:p w:rsidR="008960BD" w:rsidRPr="00F62060" w:rsidRDefault="008960BD" w:rsidP="008960BD">
      <w:pPr>
        <w:pStyle w:val="BodyText"/>
        <w:rPr>
          <w:i/>
        </w:rPr>
      </w:pPr>
      <w:r>
        <w:rPr>
          <w:i/>
        </w:rPr>
        <w:t>3.2 buoyancy correction online</w:t>
      </w:r>
    </w:p>
    <w:p w:rsidR="008D047C" w:rsidRDefault="00C867B5" w:rsidP="00C867B5">
      <w:pPr>
        <w:jc w:val="both"/>
        <w:rPr>
          <w:sz w:val="20"/>
          <w:lang w:val="en-US" w:eastAsia="de-DE"/>
        </w:rPr>
      </w:pPr>
      <w:r w:rsidRPr="00C76DFB">
        <w:rPr>
          <w:sz w:val="20"/>
          <w:lang w:val="en-US" w:eastAsia="de-DE"/>
        </w:rPr>
        <w:t>Another issue of the dynamic measurement is the continuously filling of the measurement beaker with water</w:t>
      </w:r>
      <w:r w:rsidR="0029477C">
        <w:rPr>
          <w:sz w:val="20"/>
          <w:lang w:val="en-US" w:eastAsia="de-DE"/>
        </w:rPr>
        <w:t xml:space="preserve"> [</w:t>
      </w:r>
      <w:r w:rsidR="006E4B91">
        <w:rPr>
          <w:sz w:val="20"/>
          <w:lang w:val="en-US" w:eastAsia="de-DE"/>
        </w:rPr>
        <w:t>5</w:t>
      </w:r>
      <w:r w:rsidR="0029477C">
        <w:rPr>
          <w:sz w:val="20"/>
          <w:lang w:val="en-US" w:eastAsia="de-DE"/>
        </w:rPr>
        <w:t>]</w:t>
      </w:r>
      <w:r w:rsidRPr="00C76DFB">
        <w:rPr>
          <w:sz w:val="20"/>
          <w:lang w:val="en-US" w:eastAsia="de-DE"/>
        </w:rPr>
        <w:t>. Therefore the buoyancy correction</w:t>
      </w:r>
      <w:r w:rsidR="00423280">
        <w:rPr>
          <w:sz w:val="20"/>
          <w:lang w:val="en-US" w:eastAsia="de-DE"/>
        </w:rPr>
        <w:t xml:space="preserve"> </w:t>
      </w:r>
      <w:r w:rsidR="00423280" w:rsidRPr="00423280">
        <w:rPr>
          <w:i/>
          <w:sz w:val="20"/>
          <w:lang w:val="en-US" w:eastAsia="de-DE"/>
        </w:rPr>
        <w:t>f</w:t>
      </w:r>
      <w:r w:rsidR="00423280" w:rsidRPr="00423280">
        <w:rPr>
          <w:i/>
          <w:sz w:val="20"/>
          <w:vertAlign w:val="subscript"/>
          <w:lang w:val="en-US" w:eastAsia="de-DE"/>
        </w:rPr>
        <w:t>buoyancy</w:t>
      </w:r>
      <w:r w:rsidRPr="00C76DFB">
        <w:rPr>
          <w:sz w:val="20"/>
          <w:lang w:val="en-US" w:eastAsia="de-DE"/>
        </w:rPr>
        <w:t xml:space="preserve"> for the increasing water volume in the measurement beaker </w:t>
      </w:r>
      <w:r w:rsidR="008D047C">
        <w:rPr>
          <w:sz w:val="20"/>
          <w:lang w:val="en-US" w:eastAsia="de-DE"/>
        </w:rPr>
        <w:t>depends on the evolution in time of the air density and the water density in the beaker</w:t>
      </w:r>
      <w:r w:rsidRPr="00C76DFB">
        <w:rPr>
          <w:sz w:val="20"/>
          <w:lang w:val="en-US" w:eastAsia="de-DE"/>
        </w:rPr>
        <w:t xml:space="preserve">. </w:t>
      </w:r>
      <w:r w:rsidR="008D047C">
        <w:rPr>
          <w:sz w:val="20"/>
          <w:lang w:val="en-US" w:eastAsia="de-DE"/>
        </w:rPr>
        <w:t>To take any unforeseen changes in the densities into account, the</w:t>
      </w:r>
      <w:r w:rsidR="008D047C" w:rsidRPr="008D047C">
        <w:rPr>
          <w:sz w:val="20"/>
          <w:lang w:val="en-US" w:eastAsia="de-DE"/>
        </w:rPr>
        <w:t xml:space="preserve"> buoyancy correction factor </w:t>
      </w:r>
      <w:r w:rsidR="008D047C">
        <w:rPr>
          <w:sz w:val="20"/>
          <w:lang w:val="en-US" w:eastAsia="de-DE"/>
        </w:rPr>
        <w:t>is calculated for each single fixed fit window and directly applied to the mass flow rate</w:t>
      </w:r>
      <w:r w:rsidR="00423280">
        <w:rPr>
          <w:sz w:val="20"/>
          <w:lang w:val="en-US" w:eastAsia="de-DE"/>
        </w:rPr>
        <w:t xml:space="preserve"> </w:t>
      </w:r>
      <w:r w:rsidR="00423280" w:rsidRPr="00423280">
        <w:rPr>
          <w:i/>
          <w:sz w:val="20"/>
          <w:lang w:val="en-US" w:eastAsia="de-DE"/>
        </w:rPr>
        <w:t>Q</w:t>
      </w:r>
      <w:r w:rsidR="00423280" w:rsidRPr="00423280">
        <w:rPr>
          <w:i/>
          <w:sz w:val="20"/>
          <w:vertAlign w:val="subscript"/>
          <w:lang w:val="en-US" w:eastAsia="de-DE"/>
        </w:rPr>
        <w:t>w</w:t>
      </w:r>
      <w:r w:rsidR="00423280">
        <w:rPr>
          <w:sz w:val="20"/>
          <w:lang w:val="en-US" w:eastAsia="de-DE"/>
        </w:rPr>
        <w:t xml:space="preserve"> obtained from the </w:t>
      </w:r>
      <w:r w:rsidR="00423280" w:rsidRPr="00423280">
        <w:rPr>
          <w:sz w:val="20"/>
          <w:lang w:val="en-US" w:eastAsia="de-DE"/>
        </w:rPr>
        <w:t>real weight values (not the conventional weighing values),</w:t>
      </w:r>
      <w:r w:rsidR="00423280">
        <w:rPr>
          <w:sz w:val="20"/>
          <w:lang w:val="en-US" w:eastAsia="de-DE"/>
        </w:rPr>
        <w:t xml:space="preserve"> as shown in the simplified Equation (1)</w:t>
      </w:r>
      <w:r w:rsidR="008D047C">
        <w:rPr>
          <w:sz w:val="20"/>
          <w:lang w:val="en-US" w:eastAsia="de-DE"/>
        </w:rPr>
        <w:t xml:space="preserve">. </w:t>
      </w:r>
    </w:p>
    <w:p w:rsidR="008D047C" w:rsidRDefault="008D047C" w:rsidP="00C867B5">
      <w:pPr>
        <w:jc w:val="both"/>
        <w:rPr>
          <w:sz w:val="20"/>
          <w:lang w:val="en-US" w:eastAsia="de-DE"/>
        </w:rPr>
      </w:pPr>
    </w:p>
    <w:p w:rsidR="008D047C" w:rsidRPr="00423280" w:rsidRDefault="003319F0" w:rsidP="00C867B5">
      <w:pPr>
        <w:jc w:val="both"/>
        <w:rPr>
          <w:sz w:val="20"/>
          <w:lang w:val="en-US" w:eastAsia="de-DE"/>
        </w:rPr>
      </w:pPr>
      <m:oMath>
        <m:sSub>
          <m:sSubPr>
            <m:ctrlPr>
              <w:rPr>
                <w:rFonts w:ascii="Cambria Math" w:hAnsi="Cambria Math"/>
                <w:i/>
                <w:sz w:val="20"/>
              </w:rPr>
            </m:ctrlPr>
          </m:sSubPr>
          <m:e>
            <m:r>
              <w:rPr>
                <w:rFonts w:ascii="Cambria Math" w:hAnsi="Cambria Math"/>
                <w:sz w:val="20"/>
              </w:rPr>
              <m:t>Q</m:t>
            </m:r>
          </m:e>
          <m:sub>
            <m:r>
              <w:rPr>
                <w:rFonts w:ascii="Cambria Math" w:hAnsi="Cambria Math"/>
                <w:sz w:val="20"/>
              </w:rPr>
              <m:t>m</m:t>
            </m:r>
          </m:sub>
        </m:sSub>
        <m:r>
          <w:rPr>
            <w:rFonts w:ascii="Cambria Math" w:hAnsi="Cambria Math"/>
            <w:sz w:val="20"/>
            <w:lang w:val="en-GB"/>
          </w:rPr>
          <m:t>(t)=</m:t>
        </m:r>
        <m:d>
          <m:dPr>
            <m:ctrlPr>
              <w:rPr>
                <w:rFonts w:ascii="Cambria Math" w:hAnsi="Cambria Math"/>
                <w:i/>
                <w:sz w:val="20"/>
              </w:rPr>
            </m:ctrlPr>
          </m:dPr>
          <m:e>
            <m:sSub>
              <m:sSubPr>
                <m:ctrlPr>
                  <w:rPr>
                    <w:rFonts w:ascii="Cambria Math" w:hAnsi="Cambria Math"/>
                    <w:i/>
                    <w:color w:val="000000" w:themeColor="text1"/>
                    <w:sz w:val="20"/>
                  </w:rPr>
                </m:ctrlPr>
              </m:sSubPr>
              <m:e>
                <m:sSub>
                  <m:sSubPr>
                    <m:ctrlPr>
                      <w:rPr>
                        <w:rFonts w:ascii="Cambria Math" w:hAnsi="Cambria Math"/>
                        <w:i/>
                        <w:color w:val="000000" w:themeColor="text1"/>
                        <w:sz w:val="20"/>
                      </w:rPr>
                    </m:ctrlPr>
                  </m:sSubPr>
                  <m:e>
                    <m:r>
                      <w:rPr>
                        <w:rFonts w:ascii="Cambria Math" w:hAnsi="Cambria Math"/>
                        <w:color w:val="000000" w:themeColor="text1"/>
                        <w:sz w:val="20"/>
                      </w:rPr>
                      <m:t>Q</m:t>
                    </m:r>
                  </m:e>
                  <m:sub>
                    <m:r>
                      <w:rPr>
                        <w:rFonts w:ascii="Cambria Math" w:hAnsi="Cambria Math"/>
                        <w:color w:val="000000" w:themeColor="text1"/>
                        <w:sz w:val="20"/>
                      </w:rPr>
                      <m:t>w</m:t>
                    </m:r>
                  </m:sub>
                </m:sSub>
                <m:d>
                  <m:dPr>
                    <m:ctrlPr>
                      <w:rPr>
                        <w:rFonts w:ascii="Cambria Math" w:hAnsi="Cambria Math"/>
                        <w:i/>
                        <w:color w:val="000000" w:themeColor="text1"/>
                        <w:sz w:val="20"/>
                      </w:rPr>
                    </m:ctrlPr>
                  </m:dPr>
                  <m:e>
                    <m:r>
                      <w:rPr>
                        <w:rFonts w:ascii="Cambria Math" w:hAnsi="Cambria Math"/>
                        <w:color w:val="000000" w:themeColor="text1"/>
                        <w:sz w:val="20"/>
                      </w:rPr>
                      <m:t>t</m:t>
                    </m:r>
                  </m:e>
                </m:d>
                <m:r>
                  <w:rPr>
                    <w:rFonts w:ascii="Cambria Math" w:hAnsi="Cambria Math"/>
                    <w:color w:val="000000" w:themeColor="text1"/>
                    <w:sz w:val="20"/>
                  </w:rPr>
                  <m:t xml:space="preserve"> ∙ f</m:t>
                </m:r>
              </m:e>
              <m:sub>
                <m:r>
                  <w:rPr>
                    <w:rFonts w:ascii="Cambria Math" w:hAnsi="Cambria Math"/>
                    <w:color w:val="000000" w:themeColor="text1"/>
                    <w:sz w:val="20"/>
                  </w:rPr>
                  <m:t>buoyancy</m:t>
                </m:r>
              </m:sub>
            </m:sSub>
            <m:r>
              <w:rPr>
                <w:rFonts w:ascii="Cambria Math" w:hAnsi="Cambria Math"/>
                <w:sz w:val="20"/>
                <w:lang w:val="en-GB"/>
              </w:rPr>
              <m:t>(t)-</m:t>
            </m:r>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rPr>
                      <m:t>m</m:t>
                    </m:r>
                  </m:e>
                </m:acc>
              </m:e>
              <m:sub>
                <m:r>
                  <w:rPr>
                    <w:rFonts w:ascii="Cambria Math" w:hAnsi="Cambria Math"/>
                    <w:sz w:val="20"/>
                  </w:rPr>
                  <m:t>evap</m:t>
                </m:r>
              </m:sub>
            </m:sSub>
          </m:e>
        </m:d>
      </m:oMath>
      <w:r w:rsidR="00423280">
        <w:rPr>
          <w:sz w:val="20"/>
        </w:rPr>
        <w:t xml:space="preserve"> </w:t>
      </w:r>
      <w:r w:rsidR="00A318DA">
        <w:rPr>
          <w:sz w:val="20"/>
        </w:rPr>
        <w:tab/>
        <w:t xml:space="preserve">              </w:t>
      </w:r>
      <w:r w:rsidR="00423280">
        <w:rPr>
          <w:sz w:val="20"/>
        </w:rPr>
        <w:t>(1)</w:t>
      </w:r>
    </w:p>
    <w:p w:rsidR="008D047C" w:rsidRPr="008D047C" w:rsidRDefault="008D047C" w:rsidP="00C867B5">
      <w:pPr>
        <w:jc w:val="both"/>
        <w:rPr>
          <w:sz w:val="20"/>
          <w:lang w:val="en-US" w:eastAsia="de-DE"/>
        </w:rPr>
      </w:pPr>
    </w:p>
    <w:p w:rsidR="00423280" w:rsidRDefault="003319F0" w:rsidP="00C867B5">
      <w:pPr>
        <w:jc w:val="both"/>
        <w:rPr>
          <w:sz w:val="20"/>
        </w:rPr>
      </w:pPr>
      <m:oMath>
        <m:sSub>
          <m:sSubPr>
            <m:ctrlPr>
              <w:rPr>
                <w:rFonts w:ascii="Cambria Math" w:hAnsi="Cambria Math"/>
                <w:i/>
                <w:sz w:val="20"/>
              </w:rPr>
            </m:ctrlPr>
          </m:sSubPr>
          <m:e>
            <m:acc>
              <m:accPr>
                <m:chr m:val="̇"/>
                <m:ctrlPr>
                  <w:rPr>
                    <w:rFonts w:ascii="Cambria Math" w:hAnsi="Cambria Math"/>
                    <w:i/>
                    <w:sz w:val="20"/>
                  </w:rPr>
                </m:ctrlPr>
              </m:accPr>
              <m:e>
                <m:r>
                  <w:rPr>
                    <w:rFonts w:ascii="Cambria Math" w:hAnsi="Cambria Math"/>
                    <w:sz w:val="20"/>
                  </w:rPr>
                  <m:t>m</m:t>
                </m:r>
              </m:e>
            </m:acc>
          </m:e>
          <m:sub>
            <m:r>
              <w:rPr>
                <w:rFonts w:ascii="Cambria Math" w:hAnsi="Cambria Math"/>
                <w:sz w:val="20"/>
              </w:rPr>
              <m:t>evap</m:t>
            </m:r>
          </m:sub>
        </m:sSub>
      </m:oMath>
      <w:r w:rsidR="00423280">
        <w:rPr>
          <w:sz w:val="20"/>
        </w:rPr>
        <w:t xml:space="preserve"> is the evaporation rate of the water from the beaker on the balance. </w:t>
      </w:r>
    </w:p>
    <w:p w:rsidR="00C867B5" w:rsidRDefault="00C867B5">
      <w:pPr>
        <w:pStyle w:val="BodyText"/>
      </w:pPr>
    </w:p>
    <w:p w:rsidR="008960BD" w:rsidRPr="008960BD" w:rsidRDefault="008960BD" w:rsidP="008960BD">
      <w:pPr>
        <w:pStyle w:val="Heading1"/>
      </w:pPr>
      <w:r>
        <w:t xml:space="preserve">4. </w:t>
      </w:r>
      <w:r w:rsidRPr="008960BD">
        <w:t xml:space="preserve">Repeatability and </w:t>
      </w:r>
      <w:r w:rsidR="00002336">
        <w:t>r</w:t>
      </w:r>
      <w:r w:rsidRPr="008960BD">
        <w:t>eproducibility</w:t>
      </w:r>
      <w:r w:rsidR="00002336">
        <w:t xml:space="preserve"> of the milli-flow facility</w:t>
      </w:r>
    </w:p>
    <w:p w:rsidR="008357DD" w:rsidRDefault="008357DD">
      <w:pPr>
        <w:pStyle w:val="BodyText"/>
      </w:pPr>
    </w:p>
    <w:p w:rsidR="0074718A" w:rsidRDefault="0074718A">
      <w:pPr>
        <w:pStyle w:val="BodyText"/>
        <w:rPr>
          <w:lang w:val="en-US" w:eastAsia="de-DE"/>
        </w:rPr>
      </w:pPr>
      <w:r>
        <w:t xml:space="preserve">In Figure </w:t>
      </w:r>
      <w:r w:rsidR="000008CD">
        <w:t>7</w:t>
      </w:r>
      <w:r w:rsidR="00FE25DD">
        <w:t>,</w:t>
      </w:r>
      <w:r w:rsidR="000008CD">
        <w:t xml:space="preserve"> </w:t>
      </w:r>
      <w:r w:rsidR="00613EF3">
        <w:t>respective</w:t>
      </w:r>
      <w:r w:rsidR="00180A01">
        <w:t>ly</w:t>
      </w:r>
      <w:r w:rsidR="000008CD">
        <w:t xml:space="preserve"> Figure 8, f</w:t>
      </w:r>
      <w:r>
        <w:t>irst measurement</w:t>
      </w:r>
      <w:r w:rsidR="00180A01">
        <w:t xml:space="preserve"> results</w:t>
      </w:r>
      <w:r w:rsidR="00613EF3">
        <w:t xml:space="preserve"> with the </w:t>
      </w:r>
      <w:r w:rsidR="00CF3811">
        <w:t xml:space="preserve">milli-flow </w:t>
      </w:r>
      <w:r w:rsidR="00613EF3">
        <w:t>syringe pump using a syringe of 100 ml volume</w:t>
      </w:r>
      <w:r w:rsidR="00180A01">
        <w:t>,</w:t>
      </w:r>
      <w:r w:rsidR="00613EF3">
        <w:t xml:space="preserve"> respective</w:t>
      </w:r>
      <w:r w:rsidR="00180A01">
        <w:t>ly</w:t>
      </w:r>
      <w:r w:rsidR="00613EF3">
        <w:t xml:space="preserve"> 10 ml volume</w:t>
      </w:r>
      <w:r w:rsidR="00180A01">
        <w:t>,</w:t>
      </w:r>
      <w:r w:rsidR="00613EF3">
        <w:t xml:space="preserve"> are shown. </w:t>
      </w:r>
      <w:r w:rsidR="003F18D9">
        <w:t xml:space="preserve">Symbols with the same color </w:t>
      </w:r>
      <w:r w:rsidR="003F18D9">
        <w:rPr>
          <w:lang w:val="en-US" w:eastAsia="de-DE"/>
        </w:rPr>
        <w:t>represent</w:t>
      </w:r>
      <w:r w:rsidR="00613EF3">
        <w:rPr>
          <w:lang w:val="en-US" w:eastAsia="de-DE"/>
        </w:rPr>
        <w:t xml:space="preserve"> the repeatability measurements where the syringe was mounted and calibrated several times</w:t>
      </w:r>
      <w:r w:rsidR="003F18D9">
        <w:rPr>
          <w:lang w:val="en-US" w:eastAsia="de-DE"/>
        </w:rPr>
        <w:t>. Symbols with different color</w:t>
      </w:r>
      <w:r w:rsidR="00613EF3">
        <w:rPr>
          <w:lang w:val="en-US" w:eastAsia="de-DE"/>
        </w:rPr>
        <w:t xml:space="preserve"> represent the reproducibility measurements as the syringe was mounted for a first calibration and then removed from the mounting block and remounted several days later for a second calibration. The repeatability and the reproducibility measurements are consistent and prove the suitability for changing the syringes on the mounting in order to change the flow rate range, which is limited to the speed range of the linear stage and the diameter of the syringe. </w:t>
      </w:r>
    </w:p>
    <w:p w:rsidR="00273451" w:rsidRDefault="00273451">
      <w:pPr>
        <w:pStyle w:val="BodyText"/>
        <w:rPr>
          <w:lang w:val="en-US" w:eastAsia="de-DE"/>
        </w:rPr>
      </w:pPr>
    </w:p>
    <w:p w:rsidR="00273451" w:rsidRDefault="00273451">
      <w:pPr>
        <w:pStyle w:val="BodyText"/>
      </w:pPr>
      <w:r>
        <w:rPr>
          <w:lang w:val="en-US" w:eastAsia="de-DE"/>
        </w:rPr>
        <w:t>The mean values of the 3 calibrations for each flow rate with the two different syringes are shown in Figure 9. The consistent deviations over the full flow rate range for each syringe mounted on the syringe pump indicate that several calibration points are sufficient for the calibration of the corresponding syringe. The</w:t>
      </w:r>
      <w:r w:rsidR="008754B1">
        <w:rPr>
          <w:lang w:val="en-US" w:eastAsia="de-DE"/>
        </w:rPr>
        <w:t xml:space="preserve"> average of the deviations lead</w:t>
      </w:r>
      <w:r w:rsidR="000A7A12">
        <w:rPr>
          <w:lang w:val="en-US" w:eastAsia="de-DE"/>
        </w:rPr>
        <w:t>s</w:t>
      </w:r>
      <w:r>
        <w:rPr>
          <w:lang w:val="en-US" w:eastAsia="de-DE"/>
        </w:rPr>
        <w:t xml:space="preserve"> to a </w:t>
      </w:r>
      <w:r w:rsidR="008754B1">
        <w:rPr>
          <w:lang w:val="en-US" w:eastAsia="de-DE"/>
        </w:rPr>
        <w:t xml:space="preserve">single </w:t>
      </w:r>
      <w:r>
        <w:rPr>
          <w:lang w:val="en-US" w:eastAsia="de-DE"/>
        </w:rPr>
        <w:t>calibration factor of the syringe for the full flow rate range.</w:t>
      </w:r>
    </w:p>
    <w:p w:rsidR="00337224" w:rsidRDefault="004A56CA">
      <w:pPr>
        <w:pStyle w:val="BodyText"/>
      </w:pPr>
      <w:r>
        <w:rPr>
          <w:noProof/>
          <w:lang w:val="de-CH" w:eastAsia="de-CH"/>
        </w:rPr>
        <w:lastRenderedPageBreak/>
        <w:drawing>
          <wp:inline distT="0" distB="0" distL="0" distR="0">
            <wp:extent cx="2880360" cy="1509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100m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0360" cy="1509395"/>
                    </a:xfrm>
                    <a:prstGeom prst="rect">
                      <a:avLst/>
                    </a:prstGeom>
                  </pic:spPr>
                </pic:pic>
              </a:graphicData>
            </a:graphic>
          </wp:inline>
        </w:drawing>
      </w:r>
    </w:p>
    <w:p w:rsidR="0074718A" w:rsidRDefault="0074718A" w:rsidP="00953E1A">
      <w:pPr>
        <w:pStyle w:val="Caption"/>
      </w:pPr>
      <w:r>
        <w:t xml:space="preserve">Figure 7: </w:t>
      </w:r>
      <w:r w:rsidR="00A76022" w:rsidRPr="00A76022">
        <w:rPr>
          <w:b w:val="0"/>
        </w:rPr>
        <w:t xml:space="preserve">Calibration of the </w:t>
      </w:r>
      <w:r w:rsidR="00435F13">
        <w:rPr>
          <w:b w:val="0"/>
        </w:rPr>
        <w:t xml:space="preserve">milli-flow </w:t>
      </w:r>
      <w:r w:rsidR="00A76022" w:rsidRPr="00A76022">
        <w:rPr>
          <w:b w:val="0"/>
        </w:rPr>
        <w:t xml:space="preserve">syringe pump using a </w:t>
      </w:r>
      <w:r w:rsidR="00A76022">
        <w:rPr>
          <w:b w:val="0"/>
        </w:rPr>
        <w:t xml:space="preserve">100 ml syringe. </w:t>
      </w:r>
      <w:r w:rsidR="00E43942">
        <w:rPr>
          <w:b w:val="0"/>
        </w:rPr>
        <w:t>The purple and orange squares represent repeatability measurements whereas the different color codes represent reproducibility measurements.</w:t>
      </w:r>
    </w:p>
    <w:p w:rsidR="00337224" w:rsidRDefault="00337224">
      <w:pPr>
        <w:pStyle w:val="BodyText"/>
      </w:pPr>
    </w:p>
    <w:p w:rsidR="00337224" w:rsidRDefault="00FD6FB6">
      <w:pPr>
        <w:pStyle w:val="BodyText"/>
      </w:pPr>
      <w:r>
        <w:rPr>
          <w:noProof/>
          <w:lang w:val="de-CH" w:eastAsia="de-CH"/>
        </w:rPr>
        <w:drawing>
          <wp:inline distT="0" distB="0" distL="0" distR="0">
            <wp:extent cx="2880360" cy="1509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10m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80360" cy="1509395"/>
                    </a:xfrm>
                    <a:prstGeom prst="rect">
                      <a:avLst/>
                    </a:prstGeom>
                  </pic:spPr>
                </pic:pic>
              </a:graphicData>
            </a:graphic>
          </wp:inline>
        </w:drawing>
      </w:r>
    </w:p>
    <w:p w:rsidR="0074718A" w:rsidRDefault="0074718A" w:rsidP="00953E1A">
      <w:pPr>
        <w:pStyle w:val="Caption"/>
      </w:pPr>
      <w:r>
        <w:t xml:space="preserve">Figure 8: </w:t>
      </w:r>
      <w:r w:rsidR="008C782A" w:rsidRPr="00A76022">
        <w:rPr>
          <w:b w:val="0"/>
        </w:rPr>
        <w:t>Calibration of the</w:t>
      </w:r>
      <w:r w:rsidR="00435F13">
        <w:rPr>
          <w:b w:val="0"/>
        </w:rPr>
        <w:t xml:space="preserve"> milli-flow </w:t>
      </w:r>
      <w:r w:rsidR="008C782A" w:rsidRPr="00A76022">
        <w:rPr>
          <w:b w:val="0"/>
        </w:rPr>
        <w:t xml:space="preserve">syringe pump using a </w:t>
      </w:r>
      <w:r w:rsidR="007F530D">
        <w:rPr>
          <w:b w:val="0"/>
        </w:rPr>
        <w:t>10 ml syringe. The blue</w:t>
      </w:r>
      <w:r w:rsidR="006A50B5">
        <w:rPr>
          <w:b w:val="0"/>
        </w:rPr>
        <w:t xml:space="preserve">, </w:t>
      </w:r>
      <w:r w:rsidR="008C782A">
        <w:rPr>
          <w:b w:val="0"/>
        </w:rPr>
        <w:t xml:space="preserve">red </w:t>
      </w:r>
      <w:r w:rsidR="006A50B5">
        <w:rPr>
          <w:b w:val="0"/>
        </w:rPr>
        <w:t xml:space="preserve">and green </w:t>
      </w:r>
      <w:r w:rsidR="00FD6FB6">
        <w:rPr>
          <w:b w:val="0"/>
        </w:rPr>
        <w:t>triangles</w:t>
      </w:r>
      <w:r w:rsidR="008C782A">
        <w:rPr>
          <w:b w:val="0"/>
        </w:rPr>
        <w:t xml:space="preserve"> represent repeatability measurements whereas the different color codes represent reproducibility measurements.</w:t>
      </w:r>
    </w:p>
    <w:p w:rsidR="004A56CA" w:rsidRDefault="004A56CA">
      <w:pPr>
        <w:pStyle w:val="BodyText"/>
      </w:pPr>
    </w:p>
    <w:p w:rsidR="004A56CA" w:rsidRDefault="00FD6FB6">
      <w:pPr>
        <w:pStyle w:val="BodyText"/>
      </w:pPr>
      <w:r>
        <w:rPr>
          <w:noProof/>
          <w:lang w:val="de-CH" w:eastAsia="de-CH"/>
        </w:rPr>
        <w:drawing>
          <wp:inline distT="0" distB="0" distL="0" distR="0">
            <wp:extent cx="2880360" cy="1509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n_Syringe_100ml_10m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80360" cy="1509395"/>
                    </a:xfrm>
                    <a:prstGeom prst="rect">
                      <a:avLst/>
                    </a:prstGeom>
                  </pic:spPr>
                </pic:pic>
              </a:graphicData>
            </a:graphic>
          </wp:inline>
        </w:drawing>
      </w:r>
    </w:p>
    <w:p w:rsidR="0074718A" w:rsidRDefault="0074718A" w:rsidP="00953E1A">
      <w:pPr>
        <w:pStyle w:val="Caption"/>
      </w:pPr>
      <w:r>
        <w:t xml:space="preserve">Figure 9: </w:t>
      </w:r>
      <w:r w:rsidR="007914DC" w:rsidRPr="007914DC">
        <w:rPr>
          <w:b w:val="0"/>
        </w:rPr>
        <w:t xml:space="preserve">Mean values of </w:t>
      </w:r>
      <w:r w:rsidR="007914DC">
        <w:rPr>
          <w:b w:val="0"/>
        </w:rPr>
        <w:t xml:space="preserve">the deviations shown in Figure 7 and 8 for the syringes of 100 ml </w:t>
      </w:r>
      <w:r w:rsidR="00FD6FB6">
        <w:rPr>
          <w:b w:val="0"/>
        </w:rPr>
        <w:t xml:space="preserve">(colored squares) </w:t>
      </w:r>
      <w:r w:rsidR="007914DC">
        <w:rPr>
          <w:b w:val="0"/>
        </w:rPr>
        <w:t>and 10 ml volume</w:t>
      </w:r>
      <w:r w:rsidR="00FD6FB6">
        <w:rPr>
          <w:b w:val="0"/>
        </w:rPr>
        <w:t xml:space="preserve"> (colored triangles)</w:t>
      </w:r>
      <w:r w:rsidR="007914DC">
        <w:rPr>
          <w:b w:val="0"/>
        </w:rPr>
        <w:t>.</w:t>
      </w:r>
    </w:p>
    <w:p w:rsidR="004A56CA" w:rsidRDefault="004A56CA">
      <w:pPr>
        <w:pStyle w:val="BodyText"/>
      </w:pPr>
    </w:p>
    <w:p w:rsidR="00002336" w:rsidRPr="008960BD" w:rsidRDefault="00002336" w:rsidP="00002336">
      <w:pPr>
        <w:pStyle w:val="Heading1"/>
      </w:pPr>
      <w:r>
        <w:t xml:space="preserve">5. </w:t>
      </w:r>
      <w:r w:rsidRPr="008960BD">
        <w:t xml:space="preserve">Repeatability </w:t>
      </w:r>
      <w:r>
        <w:t>of the micro-flow syringe pump</w:t>
      </w:r>
    </w:p>
    <w:p w:rsidR="00002336" w:rsidRDefault="00002336">
      <w:pPr>
        <w:pStyle w:val="BodyText"/>
      </w:pPr>
    </w:p>
    <w:p w:rsidR="0012310D" w:rsidRDefault="0012310D" w:rsidP="008754B1">
      <w:pPr>
        <w:pStyle w:val="BodyText"/>
      </w:pPr>
      <w:r>
        <w:t xml:space="preserve">For flow rates below </w:t>
      </w:r>
      <w:r w:rsidR="007F530D">
        <w:t>0.2</w:t>
      </w:r>
      <w:r>
        <w:t xml:space="preserve"> ml/min, METAS has </w:t>
      </w:r>
      <w:r w:rsidR="007F530D">
        <w:t>built</w:t>
      </w:r>
      <w:r>
        <w:t xml:space="preserve"> the same syringe pump with a lower speed range </w:t>
      </w:r>
      <w:r w:rsidR="00CF3811">
        <w:t xml:space="preserve">called micro-flow syringe pump </w:t>
      </w:r>
      <w:r>
        <w:t xml:space="preserve">to cover the flow rate range </w:t>
      </w:r>
      <w:r w:rsidR="008754B1">
        <w:t>from</w:t>
      </w:r>
      <w:r>
        <w:t xml:space="preserve"> 100 nl/min to 5 ml/min</w:t>
      </w:r>
      <w:r w:rsidR="008754B1">
        <w:t>, which is already covered by the micro-flow facility [</w:t>
      </w:r>
      <w:r w:rsidR="006E4B91">
        <w:t>5</w:t>
      </w:r>
      <w:r w:rsidR="008754B1">
        <w:t xml:space="preserve">]. The first measurements with the </w:t>
      </w:r>
      <w:r w:rsidR="00CF3811">
        <w:t xml:space="preserve">micro-flow </w:t>
      </w:r>
      <w:r w:rsidR="008754B1">
        <w:t xml:space="preserve">syringe pump using syringes of 50 ml, 10 ml and 1 ml </w:t>
      </w:r>
      <w:r w:rsidR="00FD6FB6">
        <w:t xml:space="preserve">on the micro-flow facility </w:t>
      </w:r>
      <w:r w:rsidR="008754B1">
        <w:t xml:space="preserve">are shown in Figure 10. Rather </w:t>
      </w:r>
      <w:r w:rsidR="008754B1">
        <w:rPr>
          <w:lang w:val="en-US" w:eastAsia="de-DE"/>
        </w:rPr>
        <w:t xml:space="preserve">consistent deviations are found over the full flow rate range for each syringe mounted on the syringe pump. </w:t>
      </w:r>
      <w:r w:rsidR="000A7A12">
        <w:rPr>
          <w:lang w:val="en-US" w:eastAsia="de-DE"/>
        </w:rPr>
        <w:t>Also in the case of this micro-flow syringe pump t</w:t>
      </w:r>
      <w:r w:rsidR="008754B1">
        <w:rPr>
          <w:lang w:val="en-US" w:eastAsia="de-DE"/>
        </w:rPr>
        <w:t>he average of the deviations lead</w:t>
      </w:r>
      <w:r w:rsidR="000A7A12">
        <w:rPr>
          <w:lang w:val="en-US" w:eastAsia="de-DE"/>
        </w:rPr>
        <w:t>s</w:t>
      </w:r>
      <w:r w:rsidR="008754B1">
        <w:rPr>
          <w:lang w:val="en-US" w:eastAsia="de-DE"/>
        </w:rPr>
        <w:t xml:space="preserve"> to a single calibration factor of the syringe for the full flow rate range.</w:t>
      </w:r>
    </w:p>
    <w:p w:rsidR="0012310D" w:rsidRDefault="0012310D">
      <w:pPr>
        <w:pStyle w:val="BodyText"/>
      </w:pPr>
    </w:p>
    <w:p w:rsidR="0012310D" w:rsidRDefault="0012310D">
      <w:pPr>
        <w:pStyle w:val="BodyText"/>
      </w:pPr>
    </w:p>
    <w:p w:rsidR="008960BD" w:rsidRDefault="00C04609">
      <w:pPr>
        <w:pStyle w:val="BodyText"/>
      </w:pPr>
      <w:r>
        <w:rPr>
          <w:noProof/>
          <w:lang w:val="de-CH" w:eastAsia="de-CH"/>
        </w:rPr>
        <w:lastRenderedPageBreak/>
        <w:drawing>
          <wp:inline distT="0" distB="0" distL="0" distR="0">
            <wp:extent cx="2880360" cy="1509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_uFlow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80360" cy="1509395"/>
                    </a:xfrm>
                    <a:prstGeom prst="rect">
                      <a:avLst/>
                    </a:prstGeom>
                  </pic:spPr>
                </pic:pic>
              </a:graphicData>
            </a:graphic>
          </wp:inline>
        </w:drawing>
      </w:r>
    </w:p>
    <w:p w:rsidR="0074718A" w:rsidRDefault="0074718A" w:rsidP="00953E1A">
      <w:pPr>
        <w:pStyle w:val="Caption"/>
      </w:pPr>
      <w:r>
        <w:t xml:space="preserve">Figure 10: </w:t>
      </w:r>
      <w:r w:rsidR="00435F13">
        <w:rPr>
          <w:b w:val="0"/>
        </w:rPr>
        <w:t>F</w:t>
      </w:r>
      <w:r w:rsidR="00435F13" w:rsidRPr="00435F13">
        <w:rPr>
          <w:b w:val="0"/>
        </w:rPr>
        <w:t xml:space="preserve">irst measurements with the </w:t>
      </w:r>
      <w:r w:rsidR="00435F13">
        <w:rPr>
          <w:b w:val="0"/>
        </w:rPr>
        <w:t xml:space="preserve">micro-flow </w:t>
      </w:r>
      <w:r w:rsidR="00435F13" w:rsidRPr="00435F13">
        <w:rPr>
          <w:b w:val="0"/>
        </w:rPr>
        <w:t xml:space="preserve">syringe pump using syringes of 50 ml, 10 ml and 1 ml </w:t>
      </w:r>
      <w:r w:rsidR="00435F13" w:rsidRPr="00FD6FB6">
        <w:rPr>
          <w:b w:val="0"/>
        </w:rPr>
        <w:t>volume</w:t>
      </w:r>
      <w:r w:rsidR="00FD6FB6" w:rsidRPr="00FD6FB6">
        <w:rPr>
          <w:b w:val="0"/>
        </w:rPr>
        <w:t xml:space="preserve"> on the micro-flow facility</w:t>
      </w:r>
      <w:r w:rsidRPr="00FD6FB6">
        <w:rPr>
          <w:b w:val="0"/>
          <w:szCs w:val="16"/>
          <w:lang w:val="en-US"/>
        </w:rPr>
        <w:t>.</w:t>
      </w:r>
    </w:p>
    <w:p w:rsidR="00F42888" w:rsidRDefault="00F42888">
      <w:pPr>
        <w:pStyle w:val="BodyText"/>
      </w:pPr>
    </w:p>
    <w:p w:rsidR="008960BD" w:rsidRDefault="00002336" w:rsidP="008960BD">
      <w:pPr>
        <w:pStyle w:val="Heading1"/>
      </w:pPr>
      <w:r>
        <w:t>6</w:t>
      </w:r>
      <w:r w:rsidR="008960BD">
        <w:t xml:space="preserve">. Calibration </w:t>
      </w:r>
      <w:r>
        <w:t xml:space="preserve">using </w:t>
      </w:r>
      <w:r w:rsidR="008960BD">
        <w:t>reference oil</w:t>
      </w:r>
      <w:r w:rsidR="00AB4153">
        <w:t>s</w:t>
      </w:r>
    </w:p>
    <w:p w:rsidR="00AD604D" w:rsidRPr="00FF6E71" w:rsidRDefault="00AD604D" w:rsidP="00AD604D">
      <w:pPr>
        <w:rPr>
          <w:sz w:val="20"/>
        </w:rPr>
      </w:pPr>
    </w:p>
    <w:p w:rsidR="003620B9" w:rsidRDefault="00FF6E71" w:rsidP="000B51E4">
      <w:pPr>
        <w:jc w:val="both"/>
        <w:rPr>
          <w:sz w:val="20"/>
          <w:lang w:val="en-GB" w:eastAsia="de-DE"/>
        </w:rPr>
      </w:pPr>
      <w:r w:rsidRPr="00AB4153">
        <w:rPr>
          <w:sz w:val="20"/>
          <w:lang w:val="en-GB" w:eastAsia="de-DE"/>
        </w:rPr>
        <w:t>As the volume flow rate</w:t>
      </w:r>
      <w:r w:rsidR="000B51E4" w:rsidRPr="00AB4153">
        <w:rPr>
          <w:sz w:val="20"/>
          <w:lang w:val="en-GB" w:eastAsia="de-DE"/>
        </w:rPr>
        <w:t>s</w:t>
      </w:r>
      <w:r w:rsidRPr="00AB4153">
        <w:rPr>
          <w:sz w:val="20"/>
          <w:lang w:val="en-GB" w:eastAsia="de-DE"/>
        </w:rPr>
        <w:t xml:space="preserve"> of the milli-flow syringe pump </w:t>
      </w:r>
      <w:r w:rsidR="000B51E4" w:rsidRPr="00AB4153">
        <w:rPr>
          <w:sz w:val="20"/>
          <w:lang w:val="en-GB" w:eastAsia="de-DE"/>
        </w:rPr>
        <w:t>are</w:t>
      </w:r>
      <w:r w:rsidRPr="00AB4153">
        <w:rPr>
          <w:sz w:val="20"/>
          <w:lang w:val="en-GB" w:eastAsia="de-DE"/>
        </w:rPr>
        <w:t xml:space="preserve"> now calibrated with water</w:t>
      </w:r>
      <w:r w:rsidR="00953E1A" w:rsidRPr="00AB4153">
        <w:rPr>
          <w:sz w:val="20"/>
          <w:lang w:val="en-GB" w:eastAsia="de-DE"/>
        </w:rPr>
        <w:t xml:space="preserve"> and traceable to the SI units, it can be operated with any other liquids</w:t>
      </w:r>
      <w:r w:rsidR="00AB4153">
        <w:rPr>
          <w:sz w:val="20"/>
          <w:lang w:val="en-GB" w:eastAsia="de-DE"/>
        </w:rPr>
        <w:t xml:space="preserve">. </w:t>
      </w:r>
      <w:r w:rsidR="008A041D">
        <w:rPr>
          <w:sz w:val="20"/>
          <w:lang w:val="en-GB" w:eastAsia="de-DE"/>
        </w:rPr>
        <w:t>In order to confirm this, a</w:t>
      </w:r>
      <w:r w:rsidR="00AB4153">
        <w:rPr>
          <w:sz w:val="20"/>
          <w:lang w:val="en-GB" w:eastAsia="de-DE"/>
        </w:rPr>
        <w:t xml:space="preserve">dditional calibrations are performed using </w:t>
      </w:r>
      <w:r w:rsidR="007E6AD0">
        <w:rPr>
          <w:sz w:val="20"/>
          <w:lang w:val="en-GB" w:eastAsia="de-DE"/>
        </w:rPr>
        <w:t xml:space="preserve">three </w:t>
      </w:r>
      <w:r w:rsidR="00AB4153">
        <w:rPr>
          <w:sz w:val="20"/>
          <w:lang w:val="en-GB" w:eastAsia="de-DE"/>
        </w:rPr>
        <w:t xml:space="preserve">reference oils with traceable densities and viscosities </w:t>
      </w:r>
      <w:r w:rsidR="005E0097">
        <w:rPr>
          <w:sz w:val="20"/>
          <w:lang w:val="en-GB" w:eastAsia="de-DE"/>
        </w:rPr>
        <w:t xml:space="preserve">of 16 mPa s, 33 mPa s and 120 mPa s at 22 °C </w:t>
      </w:r>
      <w:r w:rsidR="00AB4153">
        <w:rPr>
          <w:sz w:val="20"/>
          <w:lang w:val="en-GB" w:eastAsia="de-DE"/>
        </w:rPr>
        <w:t xml:space="preserve">by means of the dynamic gravimetric method, as shown in Figure 11. Due to the higher viscosities </w:t>
      </w:r>
      <w:r w:rsidR="006E4B91">
        <w:rPr>
          <w:sz w:val="20"/>
          <w:lang w:val="en-GB" w:eastAsia="de-DE"/>
        </w:rPr>
        <w:t>of the oils the pressure drop in</w:t>
      </w:r>
      <w:r w:rsidR="00AB4153">
        <w:rPr>
          <w:sz w:val="20"/>
          <w:lang w:val="en-GB" w:eastAsia="de-DE"/>
        </w:rPr>
        <w:t xml:space="preserve"> the piping and </w:t>
      </w:r>
      <w:r w:rsidR="006E4B91">
        <w:rPr>
          <w:sz w:val="20"/>
          <w:lang w:val="en-GB" w:eastAsia="de-DE"/>
        </w:rPr>
        <w:t xml:space="preserve">in </w:t>
      </w:r>
      <w:r w:rsidR="00AB4153">
        <w:rPr>
          <w:sz w:val="20"/>
          <w:lang w:val="en-GB" w:eastAsia="de-DE"/>
        </w:rPr>
        <w:t xml:space="preserve">the DUT </w:t>
      </w:r>
      <w:r w:rsidR="003620B9">
        <w:rPr>
          <w:sz w:val="20"/>
          <w:lang w:val="en-GB" w:eastAsia="de-DE"/>
        </w:rPr>
        <w:t xml:space="preserve">are much higher compared to the case where water is used as calibration liquid. Therefore the first calibration measurements with oil are performed without a DUT. </w:t>
      </w:r>
    </w:p>
    <w:p w:rsidR="00AD604D" w:rsidRPr="00AD604D" w:rsidRDefault="00AD604D" w:rsidP="00AD604D">
      <w:pPr>
        <w:rPr>
          <w:sz w:val="20"/>
        </w:rPr>
      </w:pPr>
    </w:p>
    <w:p w:rsidR="008960BD" w:rsidRDefault="006E4DC5">
      <w:pPr>
        <w:pStyle w:val="BodyText"/>
      </w:pPr>
      <w:r>
        <w:rPr>
          <w:noProof/>
          <w:lang w:val="de-CH" w:eastAsia="de-CH"/>
        </w:rPr>
        <w:drawing>
          <wp:inline distT="0" distB="0" distL="0" distR="0" wp14:anchorId="4A153643" wp14:editId="2ACF955D">
            <wp:extent cx="2880360" cy="1193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Flow_Scheme_Liquid_Balance2.jpg"/>
                    <pic:cNvPicPr/>
                  </pic:nvPicPr>
                  <pic:blipFill>
                    <a:blip r:embed="rId20">
                      <a:extLst>
                        <a:ext uri="{28A0092B-C50C-407E-A947-70E740481C1C}">
                          <a14:useLocalDpi xmlns:a14="http://schemas.microsoft.com/office/drawing/2010/main" val="0"/>
                        </a:ext>
                      </a:extLst>
                    </a:blip>
                    <a:stretch>
                      <a:fillRect/>
                    </a:stretch>
                  </pic:blipFill>
                  <pic:spPr>
                    <a:xfrm>
                      <a:off x="0" y="0"/>
                      <a:ext cx="2880360" cy="1193800"/>
                    </a:xfrm>
                    <a:prstGeom prst="rect">
                      <a:avLst/>
                    </a:prstGeom>
                  </pic:spPr>
                </pic:pic>
              </a:graphicData>
            </a:graphic>
          </wp:inline>
        </w:drawing>
      </w:r>
    </w:p>
    <w:p w:rsidR="0074718A" w:rsidRDefault="0074718A" w:rsidP="001811FF">
      <w:pPr>
        <w:pStyle w:val="Caption"/>
      </w:pPr>
      <w:r>
        <w:t xml:space="preserve">Figure 11: </w:t>
      </w:r>
      <w:r w:rsidR="006E4DC5" w:rsidRPr="006E4DC5">
        <w:rPr>
          <w:b w:val="0"/>
        </w:rPr>
        <w:t xml:space="preserve">Calibration of the </w:t>
      </w:r>
      <w:r w:rsidR="005609EC" w:rsidRPr="006E4DC5">
        <w:rPr>
          <w:b w:val="0"/>
        </w:rPr>
        <w:t>milli</w:t>
      </w:r>
      <w:r w:rsidR="005609EC">
        <w:rPr>
          <w:b w:val="0"/>
        </w:rPr>
        <w:t xml:space="preserve">-flow syringe pump </w:t>
      </w:r>
      <w:r w:rsidR="006E4DC5">
        <w:rPr>
          <w:b w:val="0"/>
        </w:rPr>
        <w:t xml:space="preserve">with other liquids by means of the </w:t>
      </w:r>
      <w:r w:rsidR="00CB501C">
        <w:rPr>
          <w:b w:val="0"/>
        </w:rPr>
        <w:t>dynamic gravimetric method</w:t>
      </w:r>
      <w:r>
        <w:rPr>
          <w:b w:val="0"/>
          <w:szCs w:val="16"/>
          <w:lang w:val="en-US"/>
        </w:rPr>
        <w:t>.</w:t>
      </w:r>
    </w:p>
    <w:p w:rsidR="008960BD" w:rsidRDefault="008960BD">
      <w:pPr>
        <w:pStyle w:val="BodyText"/>
      </w:pPr>
    </w:p>
    <w:p w:rsidR="007E6AD0" w:rsidRDefault="007E6AD0">
      <w:pPr>
        <w:pStyle w:val="BodyText"/>
      </w:pPr>
      <w:r>
        <w:t>The calibration results using the three reference oils are consistent with the results where water is used as calibration liquid</w:t>
      </w:r>
      <w:r w:rsidR="006E4B91">
        <w:t>, as can be seen in Figure 12</w:t>
      </w:r>
      <w:r>
        <w:t xml:space="preserve">. </w:t>
      </w:r>
      <w:r w:rsidR="00180A01">
        <w:t xml:space="preserve">A slight viscosity dependent trend can be observed and needs further investigation. </w:t>
      </w:r>
      <w:r>
        <w:t xml:space="preserve">It is worthwhile to mention at this point that the reference oils could not be degassed properly prior </w:t>
      </w:r>
      <w:r w:rsidR="00180A01">
        <w:t xml:space="preserve">to </w:t>
      </w:r>
      <w:r>
        <w:t>the me</w:t>
      </w:r>
      <w:r w:rsidR="000B5AD4">
        <w:t>a</w:t>
      </w:r>
      <w:r>
        <w:t xml:space="preserve">surements </w:t>
      </w:r>
      <w:r w:rsidR="000B5AD4">
        <w:t>in contrast to the degassing procedure of the water. However, the effect of entrapped air in the oil on the calibration results is not yet known</w:t>
      </w:r>
      <w:r>
        <w:t xml:space="preserve"> </w:t>
      </w:r>
      <w:r w:rsidR="000B5AD4">
        <w:t>by the authors.</w:t>
      </w:r>
    </w:p>
    <w:p w:rsidR="00B23B54" w:rsidRDefault="00B23B54">
      <w:pPr>
        <w:pStyle w:val="BodyText"/>
      </w:pPr>
    </w:p>
    <w:p w:rsidR="00B23B54" w:rsidRDefault="00B23B54" w:rsidP="00B23B54">
      <w:pPr>
        <w:pStyle w:val="BodyText"/>
      </w:pPr>
      <w:r>
        <w:t xml:space="preserve">These consistent calibration results allow to use the syringe pump as a transfer standard and to perform the </w:t>
      </w:r>
      <w:r w:rsidRPr="00A13D2A">
        <w:t xml:space="preserve">measurements </w:t>
      </w:r>
      <w:r w:rsidRPr="00A13D2A">
        <w:rPr>
          <w:lang w:val="en-GB" w:eastAsia="de-DE"/>
        </w:rPr>
        <w:t>according to the scheme shown in Figure 1</w:t>
      </w:r>
      <w:r w:rsidR="006E4B91">
        <w:rPr>
          <w:lang w:val="en-GB" w:eastAsia="de-DE"/>
        </w:rPr>
        <w:t>3</w:t>
      </w:r>
      <w:r>
        <w:rPr>
          <w:lang w:val="en-GB" w:eastAsia="de-DE"/>
        </w:rPr>
        <w:t>, where t</w:t>
      </w:r>
      <w:r w:rsidRPr="00A13D2A">
        <w:rPr>
          <w:lang w:val="en-GB" w:eastAsia="de-DE"/>
        </w:rPr>
        <w:t xml:space="preserve">he liquid is </w:t>
      </w:r>
      <w:r w:rsidR="00180A01">
        <w:rPr>
          <w:lang w:val="en-GB" w:eastAsia="de-DE"/>
        </w:rPr>
        <w:t>pressed</w:t>
      </w:r>
      <w:r w:rsidRPr="00A13D2A">
        <w:rPr>
          <w:lang w:val="en-GB" w:eastAsia="de-DE"/>
        </w:rPr>
        <w:t xml:space="preserve"> with the flow generator through the DUT and into the waste.</w:t>
      </w:r>
      <w:r>
        <w:rPr>
          <w:lang w:val="en-GB" w:eastAsia="de-DE"/>
        </w:rPr>
        <w:t xml:space="preserve"> The additional contributions to the overall measurement uncertainty for the transfer standard are currently under investigation. </w:t>
      </w:r>
    </w:p>
    <w:p w:rsidR="00B23B54" w:rsidRDefault="00B23B54">
      <w:pPr>
        <w:pStyle w:val="BodyText"/>
      </w:pPr>
    </w:p>
    <w:p w:rsidR="00847D3C" w:rsidRDefault="00847D3C">
      <w:pPr>
        <w:pStyle w:val="BodyText"/>
      </w:pPr>
    </w:p>
    <w:p w:rsidR="00847D3C" w:rsidRDefault="00173F91">
      <w:pPr>
        <w:pStyle w:val="BodyText"/>
      </w:pPr>
      <w:r>
        <w:rPr>
          <w:noProof/>
          <w:lang w:val="de-CH" w:eastAsia="de-CH"/>
        </w:rPr>
        <w:lastRenderedPageBreak/>
        <w:drawing>
          <wp:inline distT="0" distB="0" distL="0" distR="0">
            <wp:extent cx="2880360" cy="15093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inge10ml_Water_Oi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80360" cy="1509395"/>
                    </a:xfrm>
                    <a:prstGeom prst="rect">
                      <a:avLst/>
                    </a:prstGeom>
                  </pic:spPr>
                </pic:pic>
              </a:graphicData>
            </a:graphic>
          </wp:inline>
        </w:drawing>
      </w:r>
    </w:p>
    <w:p w:rsidR="00CB501C" w:rsidRDefault="00CB501C" w:rsidP="00CB501C">
      <w:pPr>
        <w:pStyle w:val="Caption"/>
      </w:pPr>
      <w:r>
        <w:t xml:space="preserve">Figure 12: </w:t>
      </w:r>
      <w:r w:rsidRPr="006E4DC5">
        <w:rPr>
          <w:b w:val="0"/>
        </w:rPr>
        <w:t>Calibration of the milli</w:t>
      </w:r>
      <w:r>
        <w:rPr>
          <w:b w:val="0"/>
        </w:rPr>
        <w:t xml:space="preserve">-flow syringe pump with </w:t>
      </w:r>
      <w:r w:rsidR="005E0097">
        <w:rPr>
          <w:b w:val="0"/>
        </w:rPr>
        <w:t xml:space="preserve">a syringe of 10 ml volume and </w:t>
      </w:r>
      <w:r>
        <w:rPr>
          <w:b w:val="0"/>
        </w:rPr>
        <w:t>other liquids by means of the dynamic gravimetric method</w:t>
      </w:r>
      <w:r>
        <w:rPr>
          <w:b w:val="0"/>
          <w:szCs w:val="16"/>
          <w:lang w:val="en-US"/>
        </w:rPr>
        <w:t>.</w:t>
      </w:r>
    </w:p>
    <w:p w:rsidR="006E4DC5" w:rsidRPr="00AD604D" w:rsidRDefault="006E4DC5" w:rsidP="006E4DC5">
      <w:pPr>
        <w:rPr>
          <w:sz w:val="20"/>
        </w:rPr>
      </w:pPr>
    </w:p>
    <w:p w:rsidR="006E4DC5" w:rsidRDefault="006E4DC5" w:rsidP="006E4DC5">
      <w:pPr>
        <w:pStyle w:val="BodyText"/>
      </w:pPr>
      <w:r>
        <w:rPr>
          <w:rFonts w:asciiTheme="minorHAnsi" w:eastAsiaTheme="minorEastAsia" w:hAnsi="Calibri" w:cstheme="minorBidi"/>
          <w:b/>
          <w:bCs/>
          <w:noProof/>
          <w:color w:val="000000" w:themeColor="text1"/>
          <w:kern w:val="24"/>
          <w:sz w:val="24"/>
          <w:szCs w:val="24"/>
          <w:lang w:val="de-CH" w:eastAsia="de-CH"/>
        </w:rPr>
        <w:drawing>
          <wp:inline distT="0" distB="0" distL="0" distR="0" wp14:anchorId="2904D231" wp14:editId="390057D3">
            <wp:extent cx="2876550" cy="1190625"/>
            <wp:effectExtent l="0" t="0" r="0" b="9525"/>
            <wp:docPr id="5" name="Picture 5" descr="S:\_135 Durchfluss_Hydrometrie\35_Konferenzen_Vortraege_Publikationen\2016\2016_09_26_29_Flomeko_Sydney\Pictures\Milli-Flow_Scheme_Liqui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_135 Durchfluss_Hydrometrie\35_Konferenzen_Vortraege_Publikationen\2016\2016_09_26_29_Flomeko_Sydney\Pictures\Milli-Flow_Scheme_Liquid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6550" cy="1190625"/>
                    </a:xfrm>
                    <a:prstGeom prst="rect">
                      <a:avLst/>
                    </a:prstGeom>
                    <a:noFill/>
                    <a:ln>
                      <a:noFill/>
                    </a:ln>
                  </pic:spPr>
                </pic:pic>
              </a:graphicData>
            </a:graphic>
          </wp:inline>
        </w:drawing>
      </w:r>
    </w:p>
    <w:p w:rsidR="006E4DC5" w:rsidRDefault="006E4DC5" w:rsidP="006E4DC5">
      <w:pPr>
        <w:pStyle w:val="Caption"/>
      </w:pPr>
      <w:r>
        <w:t xml:space="preserve">Figure 13: </w:t>
      </w:r>
      <w:r>
        <w:rPr>
          <w:b w:val="0"/>
        </w:rPr>
        <w:t xml:space="preserve">Working principle of the calibrated milli-flow syringe pump without collecting the liquid on the balance. The flow generator pumps any liquid through the DUT and </w:t>
      </w:r>
      <w:r w:rsidR="00D23A3B">
        <w:rPr>
          <w:b w:val="0"/>
        </w:rPr>
        <w:t>in</w:t>
      </w:r>
      <w:r>
        <w:rPr>
          <w:b w:val="0"/>
        </w:rPr>
        <w:t>to waste</w:t>
      </w:r>
      <w:r>
        <w:rPr>
          <w:b w:val="0"/>
          <w:szCs w:val="16"/>
          <w:lang w:val="en-US"/>
        </w:rPr>
        <w:t>.</w:t>
      </w:r>
    </w:p>
    <w:p w:rsidR="00847D3C" w:rsidRDefault="00847D3C">
      <w:pPr>
        <w:pStyle w:val="BodyText"/>
      </w:pPr>
    </w:p>
    <w:p w:rsidR="00981CDF" w:rsidRDefault="00490801" w:rsidP="00981CDF">
      <w:pPr>
        <w:pStyle w:val="Heading1"/>
      </w:pPr>
      <w:r>
        <w:t>7</w:t>
      </w:r>
      <w:r w:rsidR="00981CDF">
        <w:t>. Validation</w:t>
      </w:r>
      <w:r>
        <w:t xml:space="preserve"> of the milli-flow facility</w:t>
      </w:r>
    </w:p>
    <w:p w:rsidR="00847D3C" w:rsidRDefault="00847D3C">
      <w:pPr>
        <w:pStyle w:val="BodyText"/>
      </w:pPr>
    </w:p>
    <w:p w:rsidR="00967651" w:rsidRDefault="00967651">
      <w:pPr>
        <w:pStyle w:val="BodyText"/>
      </w:pPr>
      <w:r>
        <w:t xml:space="preserve">To validate the </w:t>
      </w:r>
      <w:r w:rsidR="006E780F">
        <w:t>m</w:t>
      </w:r>
      <w:r>
        <w:t>illi-</w:t>
      </w:r>
      <w:r w:rsidR="006E780F">
        <w:t>f</w:t>
      </w:r>
      <w:r>
        <w:t xml:space="preserve">low facility a comparison between the </w:t>
      </w:r>
      <w:r w:rsidR="006E780F">
        <w:t>m</w:t>
      </w:r>
      <w:r>
        <w:t>illi-</w:t>
      </w:r>
      <w:r w:rsidR="006E780F">
        <w:t>f</w:t>
      </w:r>
      <w:r>
        <w:t xml:space="preserve">low facility and the </w:t>
      </w:r>
      <w:r w:rsidR="006E780F">
        <w:t>m</w:t>
      </w:r>
      <w:r>
        <w:t>icro-</w:t>
      </w:r>
      <w:r w:rsidR="006E780F">
        <w:t>f</w:t>
      </w:r>
      <w:r>
        <w:t xml:space="preserve">low facility has been performed. The </w:t>
      </w:r>
      <w:r w:rsidR="006E780F">
        <w:t>m</w:t>
      </w:r>
      <w:r>
        <w:t>illi-</w:t>
      </w:r>
      <w:r w:rsidR="006E780F">
        <w:t>f</w:t>
      </w:r>
      <w:r>
        <w:t xml:space="preserve">low syringe pump is first calibrated on the </w:t>
      </w:r>
      <w:r w:rsidR="006E780F">
        <w:t>m</w:t>
      </w:r>
      <w:r>
        <w:t>illi-</w:t>
      </w:r>
      <w:r w:rsidR="006E780F">
        <w:t>f</w:t>
      </w:r>
      <w:r>
        <w:t xml:space="preserve">low balance and then also on the </w:t>
      </w:r>
      <w:r w:rsidR="006E780F">
        <w:t>m</w:t>
      </w:r>
      <w:r>
        <w:t>icro-</w:t>
      </w:r>
      <w:r w:rsidR="006E780F">
        <w:t>f</w:t>
      </w:r>
      <w:r>
        <w:t xml:space="preserve">low balance. The measurements were performed with the syringe of 10 ml volume at the flow rate of 1 ml/min, which is the maximum flow rate covered by the </w:t>
      </w:r>
      <w:r w:rsidR="006E780F">
        <w:t>m</w:t>
      </w:r>
      <w:r>
        <w:t>icro-</w:t>
      </w:r>
      <w:r w:rsidR="006E780F">
        <w:t>f</w:t>
      </w:r>
      <w:r>
        <w:t xml:space="preserve">low facility. </w:t>
      </w:r>
      <w:r w:rsidR="00A56DA0">
        <w:t>The results are shown in Figure</w:t>
      </w:r>
      <w:r w:rsidR="00ED15EC">
        <w:t> </w:t>
      </w:r>
      <w:r w:rsidR="00A56DA0">
        <w:t>1</w:t>
      </w:r>
      <w:r w:rsidR="006E4DC5">
        <w:t>4</w:t>
      </w:r>
      <w:r w:rsidR="00A56DA0">
        <w:t xml:space="preserve">, where the blue triangles are the measurements on the </w:t>
      </w:r>
      <w:r w:rsidR="006E780F">
        <w:t>m</w:t>
      </w:r>
      <w:r w:rsidR="00A56DA0">
        <w:t>illi-</w:t>
      </w:r>
      <w:r w:rsidR="006E780F">
        <w:t>f</w:t>
      </w:r>
      <w:r w:rsidR="00A56DA0">
        <w:t xml:space="preserve">low balance and the green circles are the measurements on the </w:t>
      </w:r>
      <w:r w:rsidR="006E780F">
        <w:t>m</w:t>
      </w:r>
      <w:r w:rsidR="00A56DA0">
        <w:t>icro-</w:t>
      </w:r>
      <w:r w:rsidR="006E780F">
        <w:t>f</w:t>
      </w:r>
      <w:r w:rsidR="00A56DA0">
        <w:t xml:space="preserve">low balance. The </w:t>
      </w:r>
      <w:r w:rsidR="00ED15EC">
        <w:t>solid</w:t>
      </w:r>
      <w:r w:rsidR="00A56DA0">
        <w:t xml:space="preserve"> symbols are the single measurements and the empty symbols are the corresponding mean values. The results are very consistent.</w:t>
      </w:r>
    </w:p>
    <w:p w:rsidR="00967651" w:rsidRDefault="00967651">
      <w:pPr>
        <w:pStyle w:val="BodyText"/>
      </w:pPr>
    </w:p>
    <w:p w:rsidR="00615E33" w:rsidRDefault="00615E33">
      <w:pPr>
        <w:pStyle w:val="BodyText"/>
      </w:pPr>
    </w:p>
    <w:p w:rsidR="00847D3C" w:rsidRDefault="003970D4">
      <w:pPr>
        <w:pStyle w:val="BodyText"/>
      </w:pPr>
      <w:r>
        <w:rPr>
          <w:noProof/>
          <w:lang w:val="de-CH" w:eastAsia="de-CH"/>
        </w:rPr>
        <w:drawing>
          <wp:inline distT="0" distB="0" distL="0" distR="0">
            <wp:extent cx="2880360" cy="15093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_Milli_Micro_Q1mlmi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80360" cy="1509395"/>
                    </a:xfrm>
                    <a:prstGeom prst="rect">
                      <a:avLst/>
                    </a:prstGeom>
                  </pic:spPr>
                </pic:pic>
              </a:graphicData>
            </a:graphic>
          </wp:inline>
        </w:drawing>
      </w:r>
    </w:p>
    <w:p w:rsidR="00D3763F" w:rsidRDefault="00D3763F" w:rsidP="00D3763F">
      <w:pPr>
        <w:pStyle w:val="Caption"/>
      </w:pPr>
      <w:r>
        <w:t>Figure 1</w:t>
      </w:r>
      <w:r w:rsidR="006E4DC5">
        <w:t>4</w:t>
      </w:r>
      <w:r>
        <w:t xml:space="preserve">: </w:t>
      </w:r>
      <w:r w:rsidR="00F17BC5" w:rsidRPr="00F17BC5">
        <w:rPr>
          <w:b w:val="0"/>
        </w:rPr>
        <w:t xml:space="preserve">Validation </w:t>
      </w:r>
      <w:r w:rsidR="00F17BC5">
        <w:rPr>
          <w:b w:val="0"/>
        </w:rPr>
        <w:t xml:space="preserve">of the </w:t>
      </w:r>
      <w:r w:rsidR="00FC41FC">
        <w:rPr>
          <w:b w:val="0"/>
        </w:rPr>
        <w:t>m</w:t>
      </w:r>
      <w:r w:rsidR="00F17BC5">
        <w:rPr>
          <w:b w:val="0"/>
        </w:rPr>
        <w:t>illi-</w:t>
      </w:r>
      <w:r w:rsidR="00FC41FC">
        <w:rPr>
          <w:b w:val="0"/>
        </w:rPr>
        <w:t>f</w:t>
      </w:r>
      <w:r w:rsidR="00F17BC5">
        <w:rPr>
          <w:b w:val="0"/>
        </w:rPr>
        <w:t xml:space="preserve">low facility by means of a comparison of the </w:t>
      </w:r>
      <w:r w:rsidR="00FC41FC">
        <w:rPr>
          <w:b w:val="0"/>
        </w:rPr>
        <w:t>m</w:t>
      </w:r>
      <w:r w:rsidR="00F17BC5">
        <w:rPr>
          <w:b w:val="0"/>
        </w:rPr>
        <w:t>illi-</w:t>
      </w:r>
      <w:r w:rsidR="00FC41FC">
        <w:rPr>
          <w:b w:val="0"/>
        </w:rPr>
        <w:t>f</w:t>
      </w:r>
      <w:r w:rsidR="00F17BC5">
        <w:rPr>
          <w:b w:val="0"/>
        </w:rPr>
        <w:t xml:space="preserve">low syringe pump at </w:t>
      </w:r>
      <w:r w:rsidR="00967651">
        <w:rPr>
          <w:b w:val="0"/>
        </w:rPr>
        <w:t xml:space="preserve">flow rate </w:t>
      </w:r>
      <w:r w:rsidR="00F17BC5">
        <w:rPr>
          <w:b w:val="0"/>
        </w:rPr>
        <w:t xml:space="preserve">1 ml/min on the balance of the </w:t>
      </w:r>
      <w:r w:rsidR="00FC41FC">
        <w:rPr>
          <w:b w:val="0"/>
        </w:rPr>
        <w:t>m</w:t>
      </w:r>
      <w:r w:rsidR="00F17BC5">
        <w:rPr>
          <w:b w:val="0"/>
        </w:rPr>
        <w:t>illi-</w:t>
      </w:r>
      <w:r w:rsidR="00FC41FC">
        <w:rPr>
          <w:b w:val="0"/>
        </w:rPr>
        <w:t>f</w:t>
      </w:r>
      <w:r w:rsidR="00F17BC5">
        <w:rPr>
          <w:b w:val="0"/>
        </w:rPr>
        <w:t>low facility (</w:t>
      </w:r>
      <w:r w:rsidR="00ED15EC">
        <w:rPr>
          <w:b w:val="0"/>
        </w:rPr>
        <w:t>solid</w:t>
      </w:r>
      <w:r w:rsidR="00F17BC5">
        <w:rPr>
          <w:b w:val="0"/>
        </w:rPr>
        <w:t xml:space="preserve"> blue triangles) and on the balance of the </w:t>
      </w:r>
      <w:r w:rsidR="00FC41FC">
        <w:rPr>
          <w:b w:val="0"/>
        </w:rPr>
        <w:t>m</w:t>
      </w:r>
      <w:r w:rsidR="00F17BC5">
        <w:rPr>
          <w:b w:val="0"/>
        </w:rPr>
        <w:t>icro-</w:t>
      </w:r>
      <w:r w:rsidR="00FC41FC">
        <w:rPr>
          <w:b w:val="0"/>
        </w:rPr>
        <w:t>f</w:t>
      </w:r>
      <w:r w:rsidR="00F17BC5">
        <w:rPr>
          <w:b w:val="0"/>
        </w:rPr>
        <w:t>low facility (</w:t>
      </w:r>
      <w:r w:rsidR="00ED15EC">
        <w:rPr>
          <w:b w:val="0"/>
        </w:rPr>
        <w:t>solid</w:t>
      </w:r>
      <w:r w:rsidR="00F17BC5">
        <w:rPr>
          <w:b w:val="0"/>
        </w:rPr>
        <w:t xml:space="preserve"> green circles)</w:t>
      </w:r>
      <w:r>
        <w:rPr>
          <w:b w:val="0"/>
          <w:szCs w:val="16"/>
          <w:lang w:val="en-US"/>
        </w:rPr>
        <w:t>.</w:t>
      </w:r>
      <w:r w:rsidR="00F17BC5">
        <w:rPr>
          <w:b w:val="0"/>
          <w:szCs w:val="16"/>
          <w:lang w:val="en-US"/>
        </w:rPr>
        <w:t xml:space="preserve"> The empty symbols represent the mean values of the 3 measurements shown in </w:t>
      </w:r>
      <w:r w:rsidR="00ED15EC">
        <w:rPr>
          <w:b w:val="0"/>
          <w:szCs w:val="16"/>
          <w:lang w:val="en-US"/>
        </w:rPr>
        <w:t>solid</w:t>
      </w:r>
      <w:r w:rsidR="00F17BC5">
        <w:rPr>
          <w:b w:val="0"/>
          <w:szCs w:val="16"/>
          <w:lang w:val="en-US"/>
        </w:rPr>
        <w:t xml:space="preserve"> symbols.</w:t>
      </w:r>
    </w:p>
    <w:p w:rsidR="00847D3C" w:rsidRDefault="00847D3C">
      <w:pPr>
        <w:pStyle w:val="BodyText"/>
      </w:pPr>
    </w:p>
    <w:p w:rsidR="00847D3C" w:rsidRDefault="00A56DA0">
      <w:pPr>
        <w:pStyle w:val="BodyText"/>
      </w:pPr>
      <w:r>
        <w:lastRenderedPageBreak/>
        <w:t>Additionally, an international comparison EURAMET P</w:t>
      </w:r>
      <w:r w:rsidR="00054D82">
        <w:t>1379</w:t>
      </w:r>
      <w:r>
        <w:t xml:space="preserve"> </w:t>
      </w:r>
      <w:r w:rsidR="00054D82">
        <w:t xml:space="preserve">in the flow rate range from 0.5 kg/h (8.3 ml/min) to 10 kg/h (166 ml/min) </w:t>
      </w:r>
      <w:r>
        <w:t xml:space="preserve">is </w:t>
      </w:r>
      <w:r w:rsidR="00C94F4E">
        <w:t>scheduled</w:t>
      </w:r>
      <w:r>
        <w:t xml:space="preserve"> in September 2016 to validate the </w:t>
      </w:r>
      <w:r w:rsidR="00054D82">
        <w:t>m</w:t>
      </w:r>
      <w:r>
        <w:t>illi-</w:t>
      </w:r>
      <w:r w:rsidR="00054D82">
        <w:t>f</w:t>
      </w:r>
      <w:r>
        <w:t>low facility. Once the stated uncertainties are validated and internationally recognized METAS will apply for the publication of the calibration and measurement capabilities (CMC) at the BIPM in December 2016.</w:t>
      </w:r>
    </w:p>
    <w:p w:rsidR="00A56DA0" w:rsidRDefault="00A56DA0">
      <w:pPr>
        <w:pStyle w:val="BodyText"/>
      </w:pPr>
    </w:p>
    <w:p w:rsidR="005F2C46" w:rsidRDefault="005F2C46">
      <w:pPr>
        <w:pStyle w:val="Heading1"/>
      </w:pPr>
      <w:r>
        <w:t>7. Conclusion</w:t>
      </w:r>
    </w:p>
    <w:p w:rsidR="005F2C46" w:rsidRDefault="005F2C46">
      <w:pPr>
        <w:pStyle w:val="BodyText"/>
      </w:pPr>
    </w:p>
    <w:p w:rsidR="00621318" w:rsidRPr="00B23B54" w:rsidRDefault="00AB6689">
      <w:pPr>
        <w:pStyle w:val="BodyText"/>
        <w:rPr>
          <w:lang w:val="en-GB" w:eastAsia="de-DE"/>
        </w:rPr>
      </w:pPr>
      <w:r w:rsidRPr="00B23B54">
        <w:rPr>
          <w:lang w:val="en-GB"/>
        </w:rPr>
        <w:t xml:space="preserve">METAS has developed a </w:t>
      </w:r>
      <w:r w:rsidR="000F0068" w:rsidRPr="00B23B54">
        <w:rPr>
          <w:lang w:val="en-GB"/>
        </w:rPr>
        <w:t xml:space="preserve">milli-flow </w:t>
      </w:r>
      <w:r w:rsidRPr="00B23B54">
        <w:rPr>
          <w:lang w:val="en-GB"/>
        </w:rPr>
        <w:t xml:space="preserve">facility for flow rates </w:t>
      </w:r>
      <w:r w:rsidR="00615E33" w:rsidRPr="00B23B54">
        <w:rPr>
          <w:lang w:val="en-GB"/>
        </w:rPr>
        <w:t xml:space="preserve">from </w:t>
      </w:r>
      <w:r w:rsidR="00C94F4E">
        <w:rPr>
          <w:lang w:val="en-GB"/>
        </w:rPr>
        <w:t>0.2</w:t>
      </w:r>
      <w:r w:rsidR="00615E33" w:rsidRPr="00B23B54">
        <w:rPr>
          <w:lang w:val="en-GB"/>
        </w:rPr>
        <w:t> ml/min to</w:t>
      </w:r>
      <w:r w:rsidRPr="00B23B54">
        <w:rPr>
          <w:lang w:val="en-GB"/>
        </w:rPr>
        <w:t xml:space="preserve"> 100 ml/min with </w:t>
      </w:r>
      <w:r w:rsidR="00180A01">
        <w:rPr>
          <w:lang w:val="en-GB"/>
        </w:rPr>
        <w:t xml:space="preserve">an </w:t>
      </w:r>
      <w:r w:rsidRPr="00B23B54">
        <w:rPr>
          <w:lang w:val="en-GB"/>
        </w:rPr>
        <w:t>uncertaint</w:t>
      </w:r>
      <w:r w:rsidR="00180A01">
        <w:rPr>
          <w:lang w:val="en-GB"/>
        </w:rPr>
        <w:t>y</w:t>
      </w:r>
      <w:r w:rsidRPr="00B23B54">
        <w:rPr>
          <w:lang w:val="en-GB"/>
        </w:rPr>
        <w:t xml:space="preserve"> of 0.07 %. </w:t>
      </w:r>
      <w:r w:rsidRPr="00B23B54">
        <w:rPr>
          <w:lang w:val="en-GB" w:eastAsia="de-DE"/>
        </w:rPr>
        <w:t>The flow generator</w:t>
      </w:r>
      <w:r w:rsidR="000F0068" w:rsidRPr="00B23B54">
        <w:rPr>
          <w:lang w:val="en-GB" w:eastAsia="de-DE"/>
        </w:rPr>
        <w:t xml:space="preserve"> is a </w:t>
      </w:r>
      <w:r w:rsidRPr="00B23B54">
        <w:rPr>
          <w:lang w:val="en-GB" w:eastAsia="de-DE"/>
        </w:rPr>
        <w:t>homemade syringe pump which allow</w:t>
      </w:r>
      <w:r w:rsidR="000F0068" w:rsidRPr="00B23B54">
        <w:rPr>
          <w:lang w:val="en-GB" w:eastAsia="de-DE"/>
        </w:rPr>
        <w:t>s</w:t>
      </w:r>
      <w:r w:rsidRPr="00B23B54">
        <w:rPr>
          <w:lang w:val="en-GB" w:eastAsia="de-DE"/>
        </w:rPr>
        <w:t xml:space="preserve"> measurements with liquids other </w:t>
      </w:r>
      <w:r w:rsidR="000F0068" w:rsidRPr="00B23B54">
        <w:rPr>
          <w:lang w:val="en-GB" w:eastAsia="de-DE"/>
        </w:rPr>
        <w:t>than water. Moreover, a micro-flow syringe pump has been built for the flow rate range from 100</w:t>
      </w:r>
      <w:r w:rsidRPr="00B23B54">
        <w:rPr>
          <w:lang w:val="en-GB" w:eastAsia="de-DE"/>
        </w:rPr>
        <w:t> </w:t>
      </w:r>
      <w:r w:rsidR="000F0068" w:rsidRPr="00B23B54">
        <w:rPr>
          <w:lang w:val="en-GB" w:eastAsia="de-DE"/>
        </w:rPr>
        <w:t>n</w:t>
      </w:r>
      <w:r w:rsidRPr="00B23B54">
        <w:rPr>
          <w:lang w:val="en-GB" w:eastAsia="de-DE"/>
        </w:rPr>
        <w:t xml:space="preserve">l/min </w:t>
      </w:r>
      <w:r w:rsidR="000F0068" w:rsidRPr="00B23B54">
        <w:rPr>
          <w:lang w:val="en-GB" w:eastAsia="de-DE"/>
        </w:rPr>
        <w:t>to 5 m</w:t>
      </w:r>
      <w:r w:rsidRPr="00B23B54">
        <w:rPr>
          <w:lang w:val="en-GB" w:eastAsia="de-DE"/>
        </w:rPr>
        <w:t xml:space="preserve">l/min. Traceability is guaranteed through the calibration of the generated flow rates of the syringe pumps by means of the dynamic gravimetric method where a liquid of </w:t>
      </w:r>
      <w:r w:rsidR="000F0068" w:rsidRPr="00B23B54">
        <w:rPr>
          <w:lang w:val="en-GB" w:eastAsia="de-DE"/>
        </w:rPr>
        <w:t>traceable</w:t>
      </w:r>
      <w:r w:rsidRPr="00B23B54">
        <w:rPr>
          <w:lang w:val="en-GB" w:eastAsia="de-DE"/>
        </w:rPr>
        <w:t xml:space="preserve"> density and a well-controlled evaporation rate is used. As the syringe pump is a volumetric flow generator, it can be operated with any liquid acting as a transfer standard to perform calibrations of flow meters.</w:t>
      </w:r>
      <w:r w:rsidR="000F0068" w:rsidRPr="00B23B54">
        <w:rPr>
          <w:lang w:val="en-GB" w:eastAsia="de-DE"/>
        </w:rPr>
        <w:t xml:space="preserve"> </w:t>
      </w:r>
    </w:p>
    <w:p w:rsidR="000F0068" w:rsidRPr="00B23B54" w:rsidRDefault="000F0068">
      <w:pPr>
        <w:pStyle w:val="BodyText"/>
        <w:rPr>
          <w:lang w:val="en-GB" w:eastAsia="de-DE"/>
        </w:rPr>
      </w:pPr>
    </w:p>
    <w:p w:rsidR="000F0068" w:rsidRPr="00B23B54" w:rsidRDefault="000F0068">
      <w:pPr>
        <w:pStyle w:val="BodyText"/>
        <w:rPr>
          <w:lang w:val="en-GB" w:eastAsia="de-DE"/>
        </w:rPr>
      </w:pPr>
      <w:r w:rsidRPr="00B23B54">
        <w:rPr>
          <w:lang w:val="en-GB" w:eastAsia="de-DE"/>
        </w:rPr>
        <w:t xml:space="preserve">METAS is currently building homemade syringes to increase the volume of the syringe body from 100 ml to 200 ml. This will allow the generation of a higher flow rate of the order of 200 ml/min. </w:t>
      </w:r>
    </w:p>
    <w:p w:rsidR="00847D3C" w:rsidRDefault="00847D3C">
      <w:pPr>
        <w:pStyle w:val="BodyText"/>
      </w:pPr>
    </w:p>
    <w:p w:rsidR="00B23B54" w:rsidRDefault="000F0068">
      <w:pPr>
        <w:pStyle w:val="BodyText"/>
      </w:pPr>
      <w:r>
        <w:t xml:space="preserve">Validation measurements with several reference </w:t>
      </w:r>
      <w:r w:rsidR="009E2553">
        <w:t xml:space="preserve">mineral </w:t>
      </w:r>
      <w:r>
        <w:t>oils have shown the feasibility of the</w:t>
      </w:r>
      <w:r w:rsidR="00B23B54">
        <w:t xml:space="preserve"> calibrations with liquids other than water and the direct calibration of the syringe pump by means of the dynamic gravimetric method using </w:t>
      </w:r>
      <w:r w:rsidR="009E2553">
        <w:t xml:space="preserve">mineral </w:t>
      </w:r>
      <w:r w:rsidR="00B23B54">
        <w:t xml:space="preserve">oil instead of water. </w:t>
      </w:r>
    </w:p>
    <w:p w:rsidR="00B23B54" w:rsidRDefault="00B23B54">
      <w:pPr>
        <w:pStyle w:val="BodyText"/>
      </w:pPr>
    </w:p>
    <w:p w:rsidR="00847D3C" w:rsidRDefault="001C0797">
      <w:pPr>
        <w:pStyle w:val="BodyText"/>
      </w:pPr>
      <w:r>
        <w:t>With the successful validation of the facility by means of t</w:t>
      </w:r>
      <w:r w:rsidR="00B23B54">
        <w:t xml:space="preserve">he international comparison EURAMET P1379 </w:t>
      </w:r>
      <w:r>
        <w:t xml:space="preserve">METAS </w:t>
      </w:r>
      <w:r w:rsidR="00B23B54">
        <w:t xml:space="preserve">will </w:t>
      </w:r>
      <w:r>
        <w:t>apply</w:t>
      </w:r>
      <w:r w:rsidR="00B23B54">
        <w:t xml:space="preserve"> for the publication of CMC’s at the BIPM</w:t>
      </w:r>
      <w:r>
        <w:t xml:space="preserve"> by the end of 2016</w:t>
      </w:r>
      <w:r w:rsidR="00B23B54">
        <w:t xml:space="preserve">. </w:t>
      </w:r>
    </w:p>
    <w:p w:rsidR="00847D3C" w:rsidRDefault="00847D3C">
      <w:pPr>
        <w:pStyle w:val="BodyText"/>
      </w:pPr>
    </w:p>
    <w:p w:rsidR="005F2C46" w:rsidRDefault="005F2C46">
      <w:pPr>
        <w:pStyle w:val="Heading1"/>
      </w:pPr>
      <w:r>
        <w:t>References</w:t>
      </w:r>
    </w:p>
    <w:p w:rsidR="005F2C46" w:rsidRDefault="005F2C46">
      <w:pPr>
        <w:pStyle w:val="BodyText"/>
      </w:pPr>
    </w:p>
    <w:p w:rsidR="00717938" w:rsidRDefault="00717938" w:rsidP="00B21BA8">
      <w:pPr>
        <w:pStyle w:val="BodyText"/>
        <w:numPr>
          <w:ilvl w:val="0"/>
          <w:numId w:val="5"/>
        </w:numPr>
        <w:ind w:left="426" w:hanging="426"/>
      </w:pPr>
      <w:r>
        <w:t xml:space="preserve">BIPM, the BIPM key comparison database, internal NMI service identifier 5135-CH11, </w:t>
      </w:r>
      <w:hyperlink r:id="rId24" w:history="1">
        <w:r w:rsidRPr="001C0F89">
          <w:rPr>
            <w:rStyle w:val="Hyperlink"/>
            <w:lang w:val="en-GB"/>
          </w:rPr>
          <w:t>http://kcdb.bipm.org/appendixC/</w:t>
        </w:r>
      </w:hyperlink>
    </w:p>
    <w:p w:rsidR="00D05A4C" w:rsidRDefault="00D05A4C" w:rsidP="00D05A4C">
      <w:pPr>
        <w:pStyle w:val="BodyText"/>
        <w:numPr>
          <w:ilvl w:val="0"/>
          <w:numId w:val="5"/>
        </w:numPr>
        <w:ind w:left="426" w:hanging="426"/>
      </w:pPr>
      <w:r>
        <w:t>Cheong K-H, Doihara R., Shimada T. and Terao Y., “Expansion of Calibration Flow Range of Small Liquid Hydrocarbon Flow Facility at NMIJ”, in proceedings of ISFFM, 2015.</w:t>
      </w:r>
    </w:p>
    <w:p w:rsidR="00D05A4C" w:rsidRDefault="00D05A4C" w:rsidP="00D05A4C">
      <w:pPr>
        <w:pStyle w:val="BodyText"/>
        <w:numPr>
          <w:ilvl w:val="0"/>
          <w:numId w:val="5"/>
        </w:numPr>
        <w:ind w:left="426" w:hanging="426"/>
      </w:pPr>
      <w:r>
        <w:t xml:space="preserve">BIPM, the BIPM key comparison database, internal NMI service identifier UK1, </w:t>
      </w:r>
      <w:hyperlink r:id="rId25" w:history="1">
        <w:r w:rsidRPr="001C0F89">
          <w:rPr>
            <w:rStyle w:val="Hyperlink"/>
            <w:lang w:val="en-GB"/>
          </w:rPr>
          <w:t>http://kcdb.bipm.org/appendixC/</w:t>
        </w:r>
      </w:hyperlink>
    </w:p>
    <w:p w:rsidR="00D05A4C" w:rsidRDefault="00D05A4C" w:rsidP="00D05A4C">
      <w:pPr>
        <w:pStyle w:val="BodyText"/>
        <w:numPr>
          <w:ilvl w:val="0"/>
          <w:numId w:val="5"/>
        </w:numPr>
        <w:ind w:left="426" w:hanging="426"/>
      </w:pPr>
      <w:r>
        <w:t xml:space="preserve">Euroloop: test facility for high pressure and high flow gas and liquid meters, </w:t>
      </w:r>
      <w:hyperlink r:id="rId26" w:history="1">
        <w:r w:rsidRPr="00EF393E">
          <w:rPr>
            <w:rStyle w:val="Hyperlink"/>
            <w:lang w:val="en-GB"/>
          </w:rPr>
          <w:t>http://nmi-euroloop.nl/</w:t>
        </w:r>
      </w:hyperlink>
    </w:p>
    <w:p w:rsidR="00717938" w:rsidRDefault="00717938" w:rsidP="00B21BA8">
      <w:pPr>
        <w:pStyle w:val="BodyText"/>
        <w:numPr>
          <w:ilvl w:val="0"/>
          <w:numId w:val="5"/>
        </w:numPr>
        <w:ind w:left="426" w:hanging="426"/>
      </w:pPr>
      <w:r w:rsidRPr="00826D32">
        <w:rPr>
          <w:lang w:val="en-GB"/>
        </w:rPr>
        <w:t xml:space="preserve">Bissig H., Tschannen M. and de Huu M., </w:t>
      </w:r>
      <w:r>
        <w:t xml:space="preserve">“Micro-flow facility for traceability in steady and pulsating flow”, </w:t>
      </w:r>
      <w:r w:rsidRPr="00826D32">
        <w:rPr>
          <w:i/>
        </w:rPr>
        <w:t xml:space="preserve">Flow Meas. </w:t>
      </w:r>
      <w:r>
        <w:rPr>
          <w:i/>
        </w:rPr>
        <w:t>a</w:t>
      </w:r>
      <w:r w:rsidRPr="00826D32">
        <w:rPr>
          <w:i/>
        </w:rPr>
        <w:t>nd Instrum</w:t>
      </w:r>
      <w:r>
        <w:rPr>
          <w:i/>
        </w:rPr>
        <w:t>.</w:t>
      </w:r>
      <w:r>
        <w:t>, 44, 34-42, 2015.</w:t>
      </w:r>
    </w:p>
    <w:p w:rsidR="00B31FA6" w:rsidRDefault="00717938" w:rsidP="00B31FA6">
      <w:pPr>
        <w:pStyle w:val="BodyText"/>
        <w:numPr>
          <w:ilvl w:val="0"/>
          <w:numId w:val="5"/>
        </w:numPr>
        <w:ind w:left="426" w:hanging="426"/>
      </w:pPr>
      <w:r w:rsidRPr="001C0797">
        <w:rPr>
          <w:lang w:val="en-GB"/>
        </w:rPr>
        <w:t xml:space="preserve">Bissig H., Petter H.T., Lucas P et al., </w:t>
      </w:r>
      <w:r>
        <w:t xml:space="preserve">“Primary standards for measuring flow rates from 100 nl/min to 1 ml/min – gravimetric principle”, </w:t>
      </w:r>
      <w:r w:rsidRPr="001C0797">
        <w:rPr>
          <w:i/>
        </w:rPr>
        <w:t>Biomed Eng – Biomed Tech</w:t>
      </w:r>
      <w:r>
        <w:t>, 60(4), 301-316, 2015.</w:t>
      </w:r>
    </w:p>
    <w:sectPr w:rsidR="00B31FA6" w:rsidSect="00A86C33">
      <w:footerReference w:type="default" r:id="rId27"/>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F6" w:rsidRDefault="006248F6" w:rsidP="00B370F7">
      <w:r>
        <w:separator/>
      </w:r>
    </w:p>
  </w:endnote>
  <w:endnote w:type="continuationSeparator" w:id="0">
    <w:p w:rsidR="006248F6" w:rsidRDefault="006248F6"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F7" w:rsidRPr="00B370F7" w:rsidRDefault="005C07BE" w:rsidP="005C07BE">
    <w:pPr>
      <w:pStyle w:val="Footer"/>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B370F7" w:rsidRPr="00B370F7">
      <w:rPr>
        <w:sz w:val="20"/>
      </w:rPr>
      <w:fldChar w:fldCharType="begin"/>
    </w:r>
    <w:r w:rsidR="00B370F7" w:rsidRPr="00B370F7">
      <w:rPr>
        <w:sz w:val="20"/>
      </w:rPr>
      <w:instrText xml:space="preserve"> PAGE   \* MERGEFORMAT </w:instrText>
    </w:r>
    <w:r w:rsidR="00B370F7" w:rsidRPr="00B370F7">
      <w:rPr>
        <w:sz w:val="20"/>
      </w:rPr>
      <w:fldChar w:fldCharType="separate"/>
    </w:r>
    <w:r w:rsidR="00D269A4">
      <w:rPr>
        <w:noProof/>
        <w:sz w:val="20"/>
      </w:rPr>
      <w:t>1</w:t>
    </w:r>
    <w:r w:rsidR="00B370F7"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41" w:rsidRPr="00250D41" w:rsidRDefault="00250D41" w:rsidP="00250D41">
    <w:pPr>
      <w:pStyle w:val="Footer"/>
      <w:tabs>
        <w:tab w:val="right" w:pos="9781"/>
      </w:tabs>
      <w:rPr>
        <w:sz w:val="20"/>
      </w:rPr>
    </w:pPr>
  </w:p>
  <w:p w:rsidR="00250D41" w:rsidRPr="00B370F7" w:rsidRDefault="00A217DA" w:rsidP="00250D41">
    <w:pPr>
      <w:pStyle w:val="Footer"/>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50D41" w:rsidRPr="00B370F7">
      <w:rPr>
        <w:sz w:val="20"/>
      </w:rPr>
      <w:fldChar w:fldCharType="begin"/>
    </w:r>
    <w:r w:rsidR="00250D41" w:rsidRPr="00B370F7">
      <w:rPr>
        <w:sz w:val="20"/>
      </w:rPr>
      <w:instrText xml:space="preserve"> PAGE   \* MERGEFORMAT </w:instrText>
    </w:r>
    <w:r w:rsidR="00250D41" w:rsidRPr="00B370F7">
      <w:rPr>
        <w:sz w:val="20"/>
      </w:rPr>
      <w:fldChar w:fldCharType="separate"/>
    </w:r>
    <w:r w:rsidR="003319F0">
      <w:rPr>
        <w:noProof/>
        <w:sz w:val="20"/>
      </w:rPr>
      <w:t>4</w:t>
    </w:r>
    <w:r w:rsidR="00250D41"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F6" w:rsidRDefault="006248F6" w:rsidP="00B370F7">
      <w:r>
        <w:separator/>
      </w:r>
    </w:p>
  </w:footnote>
  <w:footnote w:type="continuationSeparator" w:id="0">
    <w:p w:rsidR="006248F6" w:rsidRDefault="006248F6"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DA45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2">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3">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0008CD"/>
    <w:rsid w:val="00002336"/>
    <w:rsid w:val="000132AC"/>
    <w:rsid w:val="000169FC"/>
    <w:rsid w:val="00027AE2"/>
    <w:rsid w:val="00032DDB"/>
    <w:rsid w:val="00037141"/>
    <w:rsid w:val="00054AA0"/>
    <w:rsid w:val="00054D82"/>
    <w:rsid w:val="00091883"/>
    <w:rsid w:val="000A7A12"/>
    <w:rsid w:val="000B0449"/>
    <w:rsid w:val="000B0E0B"/>
    <w:rsid w:val="000B35D0"/>
    <w:rsid w:val="000B51E4"/>
    <w:rsid w:val="000B5AD4"/>
    <w:rsid w:val="000C4100"/>
    <w:rsid w:val="000C63C5"/>
    <w:rsid w:val="000F0068"/>
    <w:rsid w:val="000F6844"/>
    <w:rsid w:val="000F6D95"/>
    <w:rsid w:val="001162A5"/>
    <w:rsid w:val="0012310D"/>
    <w:rsid w:val="00136332"/>
    <w:rsid w:val="001421FA"/>
    <w:rsid w:val="001450F0"/>
    <w:rsid w:val="00173F91"/>
    <w:rsid w:val="00180A01"/>
    <w:rsid w:val="001811FF"/>
    <w:rsid w:val="001827A1"/>
    <w:rsid w:val="00183971"/>
    <w:rsid w:val="0018789C"/>
    <w:rsid w:val="001A4DB9"/>
    <w:rsid w:val="001C0797"/>
    <w:rsid w:val="001F3DD2"/>
    <w:rsid w:val="0023403A"/>
    <w:rsid w:val="002446EA"/>
    <w:rsid w:val="00250D41"/>
    <w:rsid w:val="00265E30"/>
    <w:rsid w:val="00273451"/>
    <w:rsid w:val="00277305"/>
    <w:rsid w:val="00280E98"/>
    <w:rsid w:val="00283D5D"/>
    <w:rsid w:val="0028722D"/>
    <w:rsid w:val="00290EFE"/>
    <w:rsid w:val="00291DAB"/>
    <w:rsid w:val="0029477C"/>
    <w:rsid w:val="002957BD"/>
    <w:rsid w:val="002A73B9"/>
    <w:rsid w:val="002C346B"/>
    <w:rsid w:val="002C3A35"/>
    <w:rsid w:val="002C52D7"/>
    <w:rsid w:val="002D1066"/>
    <w:rsid w:val="002D7963"/>
    <w:rsid w:val="003226EB"/>
    <w:rsid w:val="003232CB"/>
    <w:rsid w:val="003319F0"/>
    <w:rsid w:val="00337224"/>
    <w:rsid w:val="00346B1F"/>
    <w:rsid w:val="003620B9"/>
    <w:rsid w:val="00373DA6"/>
    <w:rsid w:val="003970D4"/>
    <w:rsid w:val="003B595A"/>
    <w:rsid w:val="003C0BF7"/>
    <w:rsid w:val="003D6491"/>
    <w:rsid w:val="003D75F0"/>
    <w:rsid w:val="003E07EE"/>
    <w:rsid w:val="003F1276"/>
    <w:rsid w:val="003F13A1"/>
    <w:rsid w:val="003F18D9"/>
    <w:rsid w:val="00423280"/>
    <w:rsid w:val="0042369E"/>
    <w:rsid w:val="0043168C"/>
    <w:rsid w:val="00435F13"/>
    <w:rsid w:val="00481C7F"/>
    <w:rsid w:val="00490801"/>
    <w:rsid w:val="00495CBE"/>
    <w:rsid w:val="004A07A2"/>
    <w:rsid w:val="004A56CA"/>
    <w:rsid w:val="004B4DAF"/>
    <w:rsid w:val="004D0ACC"/>
    <w:rsid w:val="004F5CC2"/>
    <w:rsid w:val="00504C42"/>
    <w:rsid w:val="0052571A"/>
    <w:rsid w:val="005609EC"/>
    <w:rsid w:val="00590AB3"/>
    <w:rsid w:val="005912E1"/>
    <w:rsid w:val="005A5579"/>
    <w:rsid w:val="005B3B20"/>
    <w:rsid w:val="005C07BE"/>
    <w:rsid w:val="005E0097"/>
    <w:rsid w:val="005E06AF"/>
    <w:rsid w:val="005F2C46"/>
    <w:rsid w:val="005F6EB0"/>
    <w:rsid w:val="00605714"/>
    <w:rsid w:val="00613EF3"/>
    <w:rsid w:val="00615E33"/>
    <w:rsid w:val="00621238"/>
    <w:rsid w:val="00621318"/>
    <w:rsid w:val="006220A2"/>
    <w:rsid w:val="006248F6"/>
    <w:rsid w:val="00633A2C"/>
    <w:rsid w:val="00636DA8"/>
    <w:rsid w:val="00641DAC"/>
    <w:rsid w:val="00657F17"/>
    <w:rsid w:val="00683431"/>
    <w:rsid w:val="00691055"/>
    <w:rsid w:val="006A1935"/>
    <w:rsid w:val="006A50B5"/>
    <w:rsid w:val="006C58F9"/>
    <w:rsid w:val="006E4B91"/>
    <w:rsid w:val="006E4DC5"/>
    <w:rsid w:val="006E780F"/>
    <w:rsid w:val="006F12BB"/>
    <w:rsid w:val="00700662"/>
    <w:rsid w:val="00717938"/>
    <w:rsid w:val="0074718A"/>
    <w:rsid w:val="0075542E"/>
    <w:rsid w:val="00764F26"/>
    <w:rsid w:val="007914DC"/>
    <w:rsid w:val="007B1E06"/>
    <w:rsid w:val="007D499A"/>
    <w:rsid w:val="007E6AD0"/>
    <w:rsid w:val="007F530D"/>
    <w:rsid w:val="007F73B3"/>
    <w:rsid w:val="007F7D7A"/>
    <w:rsid w:val="00807BEF"/>
    <w:rsid w:val="00815774"/>
    <w:rsid w:val="00825F28"/>
    <w:rsid w:val="008261D9"/>
    <w:rsid w:val="00826D32"/>
    <w:rsid w:val="008357DD"/>
    <w:rsid w:val="00840FE8"/>
    <w:rsid w:val="00847D3C"/>
    <w:rsid w:val="008754B1"/>
    <w:rsid w:val="00886A08"/>
    <w:rsid w:val="008960BD"/>
    <w:rsid w:val="008A041D"/>
    <w:rsid w:val="008B29EC"/>
    <w:rsid w:val="008B4239"/>
    <w:rsid w:val="008B5228"/>
    <w:rsid w:val="008C782A"/>
    <w:rsid w:val="008D047C"/>
    <w:rsid w:val="008D1293"/>
    <w:rsid w:val="008D4443"/>
    <w:rsid w:val="008E79FE"/>
    <w:rsid w:val="00905079"/>
    <w:rsid w:val="00907D11"/>
    <w:rsid w:val="00917194"/>
    <w:rsid w:val="00921AA4"/>
    <w:rsid w:val="00953E1A"/>
    <w:rsid w:val="00967651"/>
    <w:rsid w:val="00971BA3"/>
    <w:rsid w:val="00981CDF"/>
    <w:rsid w:val="00982FEF"/>
    <w:rsid w:val="009C6C6B"/>
    <w:rsid w:val="009E2553"/>
    <w:rsid w:val="009E3110"/>
    <w:rsid w:val="009F31AC"/>
    <w:rsid w:val="00A0063B"/>
    <w:rsid w:val="00A12E51"/>
    <w:rsid w:val="00A13D2A"/>
    <w:rsid w:val="00A217DA"/>
    <w:rsid w:val="00A318DA"/>
    <w:rsid w:val="00A45D7A"/>
    <w:rsid w:val="00A56DA0"/>
    <w:rsid w:val="00A57C6F"/>
    <w:rsid w:val="00A71E85"/>
    <w:rsid w:val="00A76022"/>
    <w:rsid w:val="00A85F7F"/>
    <w:rsid w:val="00A86C33"/>
    <w:rsid w:val="00A95155"/>
    <w:rsid w:val="00AA2112"/>
    <w:rsid w:val="00AB4153"/>
    <w:rsid w:val="00AB51F5"/>
    <w:rsid w:val="00AB6689"/>
    <w:rsid w:val="00AC2DF0"/>
    <w:rsid w:val="00AD604D"/>
    <w:rsid w:val="00AF5702"/>
    <w:rsid w:val="00B0736C"/>
    <w:rsid w:val="00B21BA8"/>
    <w:rsid w:val="00B23B54"/>
    <w:rsid w:val="00B31FA6"/>
    <w:rsid w:val="00B33C9D"/>
    <w:rsid w:val="00B36B12"/>
    <w:rsid w:val="00B370F7"/>
    <w:rsid w:val="00B56E22"/>
    <w:rsid w:val="00B70ADD"/>
    <w:rsid w:val="00B71692"/>
    <w:rsid w:val="00B8734B"/>
    <w:rsid w:val="00B95DC8"/>
    <w:rsid w:val="00B974EF"/>
    <w:rsid w:val="00BD0B19"/>
    <w:rsid w:val="00BE2A1A"/>
    <w:rsid w:val="00C04609"/>
    <w:rsid w:val="00C04D7C"/>
    <w:rsid w:val="00C31175"/>
    <w:rsid w:val="00C37BCC"/>
    <w:rsid w:val="00C7073B"/>
    <w:rsid w:val="00C867B5"/>
    <w:rsid w:val="00C94F4E"/>
    <w:rsid w:val="00CA57D8"/>
    <w:rsid w:val="00CB501C"/>
    <w:rsid w:val="00CD6920"/>
    <w:rsid w:val="00CE14CA"/>
    <w:rsid w:val="00CF0397"/>
    <w:rsid w:val="00CF3811"/>
    <w:rsid w:val="00D0073E"/>
    <w:rsid w:val="00D02993"/>
    <w:rsid w:val="00D05A4C"/>
    <w:rsid w:val="00D13359"/>
    <w:rsid w:val="00D23A3B"/>
    <w:rsid w:val="00D269A4"/>
    <w:rsid w:val="00D3763F"/>
    <w:rsid w:val="00D5039D"/>
    <w:rsid w:val="00D7369F"/>
    <w:rsid w:val="00D9139F"/>
    <w:rsid w:val="00DB6861"/>
    <w:rsid w:val="00DC0935"/>
    <w:rsid w:val="00DD0552"/>
    <w:rsid w:val="00DE3445"/>
    <w:rsid w:val="00DE3CFE"/>
    <w:rsid w:val="00E02753"/>
    <w:rsid w:val="00E403A9"/>
    <w:rsid w:val="00E43942"/>
    <w:rsid w:val="00E7577A"/>
    <w:rsid w:val="00E91C0F"/>
    <w:rsid w:val="00EA6110"/>
    <w:rsid w:val="00ED15EC"/>
    <w:rsid w:val="00ED7EB1"/>
    <w:rsid w:val="00EE5955"/>
    <w:rsid w:val="00F108CC"/>
    <w:rsid w:val="00F17BC5"/>
    <w:rsid w:val="00F42869"/>
    <w:rsid w:val="00F42888"/>
    <w:rsid w:val="00F62060"/>
    <w:rsid w:val="00F96FF1"/>
    <w:rsid w:val="00FB038F"/>
    <w:rsid w:val="00FC0EE7"/>
    <w:rsid w:val="00FC1BA3"/>
    <w:rsid w:val="00FC41FC"/>
    <w:rsid w:val="00FD6FB6"/>
    <w:rsid w:val="00FE25DD"/>
    <w:rsid w:val="00FF2D4B"/>
    <w:rsid w:val="00FF6E71"/>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 w:type="paragraph" w:styleId="NormalWeb">
    <w:name w:val="Normal (Web)"/>
    <w:basedOn w:val="Normal"/>
    <w:uiPriority w:val="99"/>
    <w:semiHidden/>
    <w:unhideWhenUsed/>
    <w:rsid w:val="00AD604D"/>
    <w:pPr>
      <w:spacing w:before="100" w:beforeAutospacing="1" w:after="100" w:afterAutospacing="1"/>
    </w:pPr>
    <w:rPr>
      <w:rFonts w:eastAsiaTheme="minorEastAsia"/>
      <w:szCs w:val="24"/>
      <w:lang w:val="de-CH" w:eastAsia="de-CH"/>
    </w:rPr>
  </w:style>
  <w:style w:type="paragraph" w:styleId="ListBullet">
    <w:name w:val="List Bullet"/>
    <w:basedOn w:val="Normal"/>
    <w:unhideWhenUsed/>
    <w:rsid w:val="00A76022"/>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 w:type="paragraph" w:styleId="NormalWeb">
    <w:name w:val="Normal (Web)"/>
    <w:basedOn w:val="Normal"/>
    <w:uiPriority w:val="99"/>
    <w:semiHidden/>
    <w:unhideWhenUsed/>
    <w:rsid w:val="00AD604D"/>
    <w:pPr>
      <w:spacing w:before="100" w:beforeAutospacing="1" w:after="100" w:afterAutospacing="1"/>
    </w:pPr>
    <w:rPr>
      <w:rFonts w:eastAsiaTheme="minorEastAsia"/>
      <w:szCs w:val="24"/>
      <w:lang w:val="de-CH" w:eastAsia="de-CH"/>
    </w:rPr>
  </w:style>
  <w:style w:type="paragraph" w:styleId="ListBullet">
    <w:name w:val="List Bullet"/>
    <w:basedOn w:val="Normal"/>
    <w:unhideWhenUsed/>
    <w:rsid w:val="00A7602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nmi-euroloop.nl/"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kcdb.bipm.org/appendixC/"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kcdb.bipm.org/appendixC/"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1AD8E-6092-4972-9FF5-2374B631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0</TotalTime>
  <Pages>5</Pages>
  <Words>3376</Words>
  <Characters>17191</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20526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Hugo Bissig</cp:lastModifiedBy>
  <cp:revision>2</cp:revision>
  <cp:lastPrinted>2016-07-04T11:19:00Z</cp:lastPrinted>
  <dcterms:created xsi:type="dcterms:W3CDTF">2016-07-11T06:45:00Z</dcterms:created>
  <dcterms:modified xsi:type="dcterms:W3CDTF">2016-07-11T06:45:00Z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