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33" w:rsidRDefault="00986533">
      <w:pPr>
        <w:pStyle w:val="Title"/>
      </w:pPr>
      <w:r>
        <w:t>Experiences with use of a gravimetric flow standard in vacuum</w:t>
      </w:r>
    </w:p>
    <w:p w:rsidR="00986533" w:rsidRDefault="00986533"/>
    <w:p w:rsidR="00986533" w:rsidRPr="00D13359" w:rsidRDefault="00986533" w:rsidP="00D13359">
      <w:pPr>
        <w:pStyle w:val="BodyText"/>
        <w:jc w:val="center"/>
        <w:rPr>
          <w:b/>
          <w:sz w:val="24"/>
        </w:rPr>
      </w:pPr>
      <w:r>
        <w:rPr>
          <w:b/>
          <w:sz w:val="24"/>
        </w:rPr>
        <w:t>Zdeněk Krajíček</w:t>
      </w:r>
      <w:r w:rsidRPr="00D13359">
        <w:rPr>
          <w:b/>
          <w:sz w:val="24"/>
          <w:vertAlign w:val="superscript"/>
        </w:rPr>
        <w:t>1</w:t>
      </w:r>
      <w:r w:rsidRPr="00D13359">
        <w:rPr>
          <w:b/>
          <w:sz w:val="24"/>
        </w:rPr>
        <w:t xml:space="preserve">, </w:t>
      </w:r>
      <w:r>
        <w:rPr>
          <w:b/>
          <w:sz w:val="24"/>
        </w:rPr>
        <w:t>Dominik Pražák</w:t>
      </w:r>
      <w:r w:rsidRPr="00D13359">
        <w:rPr>
          <w:b/>
          <w:sz w:val="24"/>
          <w:vertAlign w:val="superscript"/>
        </w:rPr>
        <w:t>1</w:t>
      </w:r>
      <w:r w:rsidRPr="00D13359">
        <w:rPr>
          <w:b/>
          <w:sz w:val="24"/>
        </w:rPr>
        <w:t xml:space="preserve">, </w:t>
      </w:r>
      <w:r>
        <w:rPr>
          <w:b/>
          <w:sz w:val="24"/>
        </w:rPr>
        <w:t>Martin Vičar</w:t>
      </w:r>
      <w:r w:rsidRPr="00D13359">
        <w:rPr>
          <w:b/>
          <w:sz w:val="24"/>
          <w:vertAlign w:val="superscript"/>
        </w:rPr>
        <w:t>1</w:t>
      </w:r>
      <w:r w:rsidRPr="00D13359">
        <w:rPr>
          <w:b/>
          <w:sz w:val="24"/>
        </w:rPr>
        <w:t xml:space="preserve">, </w:t>
      </w:r>
      <w:r>
        <w:rPr>
          <w:b/>
          <w:sz w:val="24"/>
        </w:rPr>
        <w:t>Jiří Tesař</w:t>
      </w:r>
      <w:r w:rsidRPr="00D13359">
        <w:rPr>
          <w:b/>
          <w:sz w:val="24"/>
          <w:vertAlign w:val="superscript"/>
        </w:rPr>
        <w:t>1</w:t>
      </w:r>
      <w:r w:rsidRPr="00D13359">
        <w:rPr>
          <w:b/>
          <w:sz w:val="24"/>
        </w:rPr>
        <w:t xml:space="preserve">, </w:t>
      </w:r>
      <w:r>
        <w:rPr>
          <w:b/>
          <w:sz w:val="24"/>
        </w:rPr>
        <w:t>Ladislav Peksa</w:t>
      </w:r>
      <w:r w:rsidRPr="00D13359">
        <w:rPr>
          <w:b/>
          <w:sz w:val="24"/>
          <w:vertAlign w:val="superscript"/>
        </w:rPr>
        <w:t>2</w:t>
      </w:r>
      <w:r>
        <w:rPr>
          <w:b/>
          <w:sz w:val="24"/>
        </w:rPr>
        <w:t>,</w:t>
      </w:r>
    </w:p>
    <w:p w:rsidR="00986533" w:rsidRDefault="00986533" w:rsidP="00D13359">
      <w:pPr>
        <w:pStyle w:val="BodyText"/>
        <w:jc w:val="center"/>
        <w:rPr>
          <w:b/>
          <w:sz w:val="24"/>
        </w:rPr>
      </w:pPr>
      <w:r>
        <w:rPr>
          <w:b/>
          <w:sz w:val="24"/>
        </w:rPr>
        <w:t>Tomáš Gronych</w:t>
      </w:r>
      <w:r>
        <w:rPr>
          <w:b/>
          <w:sz w:val="24"/>
          <w:vertAlign w:val="superscript"/>
        </w:rPr>
        <w:t>2</w:t>
      </w:r>
      <w:r w:rsidRPr="00D13359">
        <w:rPr>
          <w:b/>
          <w:sz w:val="24"/>
        </w:rPr>
        <w:t xml:space="preserve">, </w:t>
      </w:r>
      <w:r>
        <w:rPr>
          <w:b/>
          <w:sz w:val="24"/>
        </w:rPr>
        <w:t>Martin Jeřáb</w:t>
      </w:r>
      <w:r>
        <w:rPr>
          <w:b/>
          <w:sz w:val="24"/>
          <w:vertAlign w:val="superscript"/>
        </w:rPr>
        <w:t>2</w:t>
      </w:r>
    </w:p>
    <w:p w:rsidR="00986533" w:rsidRDefault="00986533">
      <w:pPr>
        <w:jc w:val="center"/>
        <w:rPr>
          <w:i/>
          <w:sz w:val="22"/>
        </w:rPr>
      </w:pPr>
    </w:p>
    <w:p w:rsidR="00986533" w:rsidRPr="00D13359" w:rsidRDefault="00986533" w:rsidP="00D13359">
      <w:pPr>
        <w:jc w:val="center"/>
        <w:rPr>
          <w:i/>
          <w:sz w:val="20"/>
        </w:rPr>
      </w:pPr>
      <w:r w:rsidRPr="00D13359">
        <w:rPr>
          <w:i/>
          <w:sz w:val="20"/>
          <w:vertAlign w:val="superscript"/>
        </w:rPr>
        <w:t>1</w:t>
      </w:r>
      <w:r>
        <w:rPr>
          <w:i/>
          <w:sz w:val="20"/>
        </w:rPr>
        <w:t>Czech Metrology Institute</w:t>
      </w:r>
      <w:r w:rsidRPr="00D13359">
        <w:rPr>
          <w:i/>
          <w:sz w:val="20"/>
        </w:rPr>
        <w:t xml:space="preserve">, </w:t>
      </w:r>
      <w:r>
        <w:rPr>
          <w:i/>
          <w:sz w:val="20"/>
        </w:rPr>
        <w:t>Okružní 31</w:t>
      </w:r>
      <w:r w:rsidRPr="00D13359">
        <w:rPr>
          <w:i/>
          <w:sz w:val="20"/>
        </w:rPr>
        <w:t>,</w:t>
      </w:r>
      <w:r>
        <w:rPr>
          <w:i/>
          <w:sz w:val="20"/>
        </w:rPr>
        <w:t xml:space="preserve"> 638 00</w:t>
      </w:r>
      <w:r w:rsidRPr="00D13359">
        <w:rPr>
          <w:i/>
          <w:sz w:val="20"/>
        </w:rPr>
        <w:t xml:space="preserve"> </w:t>
      </w:r>
      <w:r>
        <w:rPr>
          <w:i/>
          <w:sz w:val="20"/>
        </w:rPr>
        <w:t>Brno</w:t>
      </w:r>
      <w:r w:rsidRPr="00D13359">
        <w:rPr>
          <w:i/>
          <w:sz w:val="20"/>
        </w:rPr>
        <w:t xml:space="preserve">, </w:t>
      </w:r>
      <w:r>
        <w:rPr>
          <w:i/>
          <w:sz w:val="20"/>
        </w:rPr>
        <w:t>Czech Republic</w:t>
      </w:r>
    </w:p>
    <w:p w:rsidR="00986533" w:rsidRPr="00D13359" w:rsidRDefault="00986533" w:rsidP="00D13359">
      <w:pPr>
        <w:jc w:val="center"/>
        <w:rPr>
          <w:i/>
          <w:sz w:val="20"/>
        </w:rPr>
      </w:pPr>
      <w:r w:rsidRPr="00D13359">
        <w:rPr>
          <w:i/>
          <w:sz w:val="20"/>
          <w:vertAlign w:val="superscript"/>
        </w:rPr>
        <w:t>2</w:t>
      </w:r>
      <w:r>
        <w:rPr>
          <w:i/>
          <w:sz w:val="20"/>
        </w:rPr>
        <w:t>Charles University</w:t>
      </w:r>
      <w:r w:rsidRPr="00D13359">
        <w:rPr>
          <w:i/>
          <w:sz w:val="20"/>
        </w:rPr>
        <w:t xml:space="preserve">, </w:t>
      </w:r>
      <w:r>
        <w:rPr>
          <w:i/>
          <w:sz w:val="20"/>
        </w:rPr>
        <w:t>Praha</w:t>
      </w:r>
      <w:r w:rsidRPr="00D13359">
        <w:rPr>
          <w:i/>
          <w:sz w:val="20"/>
        </w:rPr>
        <w:t xml:space="preserve">, </w:t>
      </w:r>
      <w:r>
        <w:rPr>
          <w:i/>
          <w:sz w:val="20"/>
        </w:rPr>
        <w:t>Czech Republic</w:t>
      </w:r>
    </w:p>
    <w:p w:rsidR="00986533" w:rsidRDefault="00986533" w:rsidP="00D13359">
      <w:pPr>
        <w:jc w:val="center"/>
        <w:rPr>
          <w:i/>
          <w:sz w:val="20"/>
        </w:rPr>
      </w:pPr>
      <w:r w:rsidRPr="00D13359">
        <w:rPr>
          <w:i/>
          <w:sz w:val="20"/>
        </w:rPr>
        <w:t xml:space="preserve">E-mail (corresponding author): </w:t>
      </w:r>
      <w:r>
        <w:rPr>
          <w:i/>
          <w:sz w:val="20"/>
        </w:rPr>
        <w:t>zkrajicek</w:t>
      </w:r>
      <w:r w:rsidRPr="00D13359">
        <w:rPr>
          <w:i/>
          <w:sz w:val="20"/>
        </w:rPr>
        <w:t>@</w:t>
      </w:r>
      <w:r>
        <w:rPr>
          <w:i/>
          <w:sz w:val="20"/>
        </w:rPr>
        <w:t>cmi</w:t>
      </w:r>
      <w:r w:rsidRPr="00D13359">
        <w:rPr>
          <w:i/>
          <w:sz w:val="20"/>
        </w:rPr>
        <w:t>.c</w:t>
      </w:r>
      <w:r>
        <w:rPr>
          <w:i/>
          <w:sz w:val="20"/>
        </w:rPr>
        <w:t>z</w:t>
      </w:r>
    </w:p>
    <w:p w:rsidR="00986533" w:rsidRDefault="00986533">
      <w:r>
        <w:pict>
          <v:rect id="_x0000_i1025" style="width:0;height:1.5pt" o:hralign="center" o:hrstd="t" o:hr="t" fillcolor="gray" stroked="f"/>
        </w:pict>
      </w:r>
    </w:p>
    <w:p w:rsidR="00986533" w:rsidRDefault="00986533" w:rsidP="00AB51F5">
      <w:pPr>
        <w:pStyle w:val="Heading1"/>
      </w:pPr>
      <w:r>
        <w:t>Abstract</w:t>
      </w:r>
    </w:p>
    <w:p w:rsidR="00986533" w:rsidRPr="00AB51F5" w:rsidRDefault="00986533" w:rsidP="00AB51F5"/>
    <w:p w:rsidR="00986533" w:rsidRPr="000867E2" w:rsidRDefault="00986533" w:rsidP="003D6491">
      <w:pPr>
        <w:jc w:val="both"/>
        <w:rPr>
          <w:sz w:val="20"/>
        </w:rPr>
      </w:pPr>
      <w:r w:rsidRPr="000867E2">
        <w:rPr>
          <w:sz w:val="20"/>
        </w:rPr>
        <w:t xml:space="preserve">The range of the low gas flow (litres per minute at the standard conditions and lower) are of increasing importance which must be reflected by the national metrology institutes. The Czech national standard of low gas flow is based on a gravimetric flow standard (GFS) principle. Hence this instrument defines the flow as a time function of a loss of gas from a pressure bottle which is continuously weighed. This weighing is performed in ambient air causing that the main source of uncertainty results from the buoyancy correction. A precise determination of this correction is complicated by the instabilities of the atmospheric environment and by a fact that volume of the weighed pressure bottle is dependent both on temperature and internal pressure. By upgrading the experimental set-up of the GFS enabling weighing-procedure in vacuum, it is possible to suppress the problematic buoyancy effects. Moreover it brings another advantage eliminating a water vapour condensation on the pressure bottle due to cooling below dew point for the higher flow rates. This presentation describes the solutions of the practical problems with the mentioned above modification together with the comparison of the old and the new uncertainty budget and the measurement results. The hermetic mode variant and its main applicability is also </w:t>
      </w:r>
      <w:r w:rsidRPr="000867E2">
        <w:rPr>
          <w:color w:val="000000"/>
          <w:sz w:val="20"/>
        </w:rPr>
        <w:t>introduced.</w:t>
      </w:r>
      <w:r w:rsidRPr="000867E2">
        <w:rPr>
          <w:color w:val="FF0000"/>
          <w:sz w:val="20"/>
        </w:rPr>
        <w:t xml:space="preserve"> </w:t>
      </w:r>
      <w:r w:rsidRPr="00C45539">
        <w:rPr>
          <w:sz w:val="20"/>
        </w:rPr>
        <w:t xml:space="preserve">In the end, the utilisation of this primary standard for the traceability of a gas concentration transfer-standard with a mixing ratio of 1:17576 is highlighted. </w:t>
      </w:r>
      <w:r w:rsidRPr="00C45539">
        <w:rPr>
          <w:i/>
          <w:sz w:val="20"/>
        </w:rPr>
        <w:t>This research is supported by EMRP Project “</w:t>
      </w:r>
      <w:r w:rsidRPr="00C45539">
        <w:rPr>
          <w:i/>
          <w:sz w:val="20"/>
          <w:lang w:val="cs-CZ" w:eastAsia="cs-CZ"/>
        </w:rPr>
        <w:t>HIGHGAS: Metrology for High Impact GreenHouse GASes</w:t>
      </w:r>
      <w:r w:rsidRPr="00C45539">
        <w:rPr>
          <w:i/>
          <w:sz w:val="20"/>
        </w:rPr>
        <w:t>”.</w:t>
      </w:r>
    </w:p>
    <w:p w:rsidR="00986533" w:rsidRDefault="00986533">
      <w:r w:rsidRPr="00791A2D">
        <w:rPr>
          <w:sz w:val="20"/>
        </w:rPr>
        <w:pict>
          <v:rect id="_x0000_i1026" style="width:0;height:1.5pt" o:hralign="center" o:hrstd="t" o:hr="t" fillcolor="gray" stroked="f"/>
        </w:pict>
      </w:r>
    </w:p>
    <w:p w:rsidR="00986533" w:rsidRDefault="00986533">
      <w:pPr>
        <w:sectPr w:rsidR="00986533" w:rsidSect="00A86C33">
          <w:footerReference w:type="default" r:id="rId7"/>
          <w:pgSz w:w="11906" w:h="16838"/>
          <w:pgMar w:top="1440" w:right="1077" w:bottom="1440" w:left="1077" w:header="708" w:footer="708" w:gutter="0"/>
          <w:cols w:space="708"/>
        </w:sectPr>
      </w:pPr>
    </w:p>
    <w:p w:rsidR="00986533" w:rsidRDefault="00986533">
      <w:pPr>
        <w:pStyle w:val="BodyText"/>
      </w:pPr>
    </w:p>
    <w:p w:rsidR="00986533" w:rsidRDefault="00986533">
      <w:pPr>
        <w:pStyle w:val="Heading1"/>
      </w:pPr>
      <w:r>
        <w:t>1. Introduction</w:t>
      </w:r>
    </w:p>
    <w:p w:rsidR="00986533" w:rsidRDefault="00986533">
      <w:pPr>
        <w:pStyle w:val="BodyText"/>
      </w:pPr>
    </w:p>
    <w:p w:rsidR="00986533" w:rsidRDefault="00986533">
      <w:pPr>
        <w:pStyle w:val="BodyText"/>
      </w:pPr>
      <w:r w:rsidRPr="00342250">
        <w:rPr>
          <w:lang w:val="en-GB"/>
        </w:rPr>
        <w:t xml:space="preserve">The gravimetric flow system (GFS) manufactured by DH-Instruments [1,2] is the basis of the primary low gas flow standard of the Czech Metrology Institute (CMI). </w:t>
      </w:r>
      <w:r>
        <w:rPr>
          <w:lang w:val="en-GB"/>
        </w:rPr>
        <w:t>It consists of</w:t>
      </w:r>
      <w:r w:rsidRPr="00342250">
        <w:rPr>
          <w:lang w:val="en-GB"/>
        </w:rPr>
        <w:t xml:space="preserve"> a pressure </w:t>
      </w:r>
      <w:r>
        <w:rPr>
          <w:lang w:val="en-GB"/>
        </w:rPr>
        <w:t>cylinder</w:t>
      </w:r>
      <w:r w:rsidRPr="00342250">
        <w:rPr>
          <w:lang w:val="en-GB"/>
        </w:rPr>
        <w:t xml:space="preserve"> which rests on </w:t>
      </w:r>
      <w:r>
        <w:rPr>
          <w:lang w:val="en-GB"/>
        </w:rPr>
        <w:t>a</w:t>
      </w:r>
      <w:r w:rsidRPr="00342250">
        <w:rPr>
          <w:lang w:val="en-GB"/>
        </w:rPr>
        <w:t xml:space="preserve"> precise electronic balance of 0.1 mg resolution with an</w:t>
      </w:r>
      <w:r>
        <w:rPr>
          <w:lang w:val="en-GB"/>
        </w:rPr>
        <w:t xml:space="preserve"> </w:t>
      </w:r>
      <w:r w:rsidRPr="00342250">
        <w:rPr>
          <w:lang w:val="en-GB"/>
        </w:rPr>
        <w:t>automated system for zeroing the balance, and automatic handling of the pressure bottle, see Fig</w:t>
      </w:r>
      <w:r>
        <w:rPr>
          <w:lang w:val="en-GB"/>
        </w:rPr>
        <w:t>ure</w:t>
      </w:r>
      <w:r w:rsidRPr="00342250">
        <w:rPr>
          <w:lang w:val="en-GB"/>
        </w:rPr>
        <w:t xml:space="preserve"> 1. This system is placed upon a vibration damping table. It is also closed in a draft enclosure preventing the effect of air circulation on the pressurized cylinder. It is equipped with a system monitoring the ambient temperature, humidity and pressure conditions. Two pressure regulators are attached to the pressure </w:t>
      </w:r>
      <w:r>
        <w:rPr>
          <w:lang w:val="en-GB"/>
        </w:rPr>
        <w:t>cylinder</w:t>
      </w:r>
      <w:r w:rsidRPr="00342250">
        <w:rPr>
          <w:lang w:val="en-GB"/>
        </w:rPr>
        <w:t xml:space="preserve">, which ensure a constant pressure in the capillary which interconnects the pressurized cylinder with a flow regulation and a device under test. The capillary is of </w:t>
      </w:r>
      <w:r>
        <w:rPr>
          <w:lang w:val="en-GB"/>
        </w:rPr>
        <w:t xml:space="preserve">a </w:t>
      </w:r>
      <w:r w:rsidRPr="00342250">
        <w:rPr>
          <w:lang w:val="en-GB"/>
        </w:rPr>
        <w:t xml:space="preserve">catenary shape to ensure minimal effect of mass indication by its elastic forces. </w:t>
      </w:r>
      <w:r w:rsidRPr="00342250">
        <w:t xml:space="preserve">Also the stabilization of the gas pressure at its input is important in order to minimize the changes of the forces exerted on the capillary walls. </w:t>
      </w:r>
      <w:r w:rsidRPr="00342250">
        <w:rPr>
          <w:lang w:val="en-GB"/>
        </w:rPr>
        <w:t xml:space="preserve">Through this capillary, the measured gas flow passes into the temperature stabilization volume and then through a mass flow controller which ensures the stability of the flow into the molbloc system which measures and integrates the flow via its control terminal molbox [3,4]. </w:t>
      </w:r>
      <w:r w:rsidRPr="00342250">
        <w:rPr>
          <w:color w:val="000000"/>
          <w:lang w:val="en-GB"/>
        </w:rPr>
        <w:t>Finally, the gas leaves into the atmosphere or it can be pumped using the Busch Seco SV1025 vacuum pump. The GFS is joined into one system by a control program which controls individual elements of the standard and calculates the resultant flow with all the necessary corrections (</w:t>
      </w:r>
      <w:r w:rsidRPr="00342250">
        <w:rPr>
          <w:bCs/>
          <w:lang w:val="en-GB"/>
        </w:rPr>
        <w:t>mainly for the balance drift and the changes in buoyancy affecting the bottle</w:t>
      </w:r>
      <w:r w:rsidRPr="00342250">
        <w:rPr>
          <w:color w:val="000000"/>
          <w:lang w:val="en-GB"/>
        </w:rPr>
        <w:t>).</w:t>
      </w:r>
    </w:p>
    <w:p w:rsidR="00986533" w:rsidRDefault="00986533" w:rsidP="008D03B8">
      <w:pPr>
        <w:pStyle w:val="BodyText"/>
      </w:pPr>
    </w:p>
    <w:p w:rsidR="00986533" w:rsidRDefault="00986533" w:rsidP="008D03B8">
      <w:pPr>
        <w:pStyle w:val="BodyText"/>
      </w:pPr>
      <w:r w:rsidRPr="001874E3">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style="width:222.75pt;height:111pt;visibility:visible">
            <v:imagedata r:id="rId8" o:title=""/>
          </v:shape>
        </w:pict>
      </w:r>
    </w:p>
    <w:p w:rsidR="00986533" w:rsidRPr="008357DD" w:rsidRDefault="00986533" w:rsidP="008D03B8">
      <w:pPr>
        <w:pStyle w:val="BodyText"/>
        <w:rPr>
          <w:sz w:val="16"/>
        </w:rPr>
      </w:pPr>
    </w:p>
    <w:p w:rsidR="00986533" w:rsidRPr="008D03B8" w:rsidRDefault="00986533" w:rsidP="00DA4EB8">
      <w:pPr>
        <w:pStyle w:val="Caption"/>
        <w:jc w:val="left"/>
        <w:rPr>
          <w:b w:val="0"/>
        </w:rPr>
      </w:pPr>
      <w:r w:rsidRPr="00B03EB8">
        <w:rPr>
          <w:szCs w:val="16"/>
          <w:lang w:val="en-GB"/>
        </w:rPr>
        <w:t>Figure 1</w:t>
      </w:r>
      <w:r>
        <w:rPr>
          <w:b w:val="0"/>
          <w:szCs w:val="16"/>
          <w:lang w:val="en-GB"/>
        </w:rPr>
        <w:t>:</w:t>
      </w:r>
      <w:r w:rsidRPr="00B03EB8">
        <w:rPr>
          <w:szCs w:val="16"/>
          <w:lang w:val="en-GB"/>
        </w:rPr>
        <w:t xml:space="preserve"> </w:t>
      </w:r>
      <w:r w:rsidRPr="008D03B8">
        <w:rPr>
          <w:b w:val="0"/>
          <w:szCs w:val="16"/>
          <w:lang w:val="en-GB"/>
        </w:rPr>
        <w:t>Schematic of primary low mass flow standard based on the dynamic gravitometric principle (1 – pressurized cylinder with gas, 2 – electronic balance, 3 – catenary-type flexible manifold, 4 – regulation element, 5 – molbloc, 6 – molbox, 7 – system of automatic filling and tarring of pressurized cylinder, 8 – reference weight, 9 – balance ambient measurement conditions, 10 – air pump)</w:t>
      </w:r>
      <w:r w:rsidRPr="008D03B8">
        <w:rPr>
          <w:b w:val="0"/>
        </w:rPr>
        <w:t>.</w:t>
      </w:r>
    </w:p>
    <w:p w:rsidR="00986533" w:rsidRDefault="00986533" w:rsidP="002D2974">
      <w:pPr>
        <w:pStyle w:val="BodyText"/>
      </w:pPr>
    </w:p>
    <w:p w:rsidR="00986533" w:rsidRDefault="00986533" w:rsidP="002D2974">
      <w:pPr>
        <w:pStyle w:val="BodyText"/>
      </w:pPr>
      <w:r w:rsidRPr="00342250">
        <w:rPr>
          <w:color w:val="000000"/>
          <w:lang w:val="en-GB"/>
        </w:rPr>
        <w:t xml:space="preserve">The standard measures and calculates the mass flow from the decrease of mass of a pressurized gas </w:t>
      </w:r>
      <w:r>
        <w:rPr>
          <w:color w:val="000000"/>
          <w:lang w:val="en-GB"/>
        </w:rPr>
        <w:t>cylinder</w:t>
      </w:r>
      <w:r w:rsidRPr="00342250">
        <w:rPr>
          <w:color w:val="000000"/>
          <w:lang w:val="en-GB"/>
        </w:rPr>
        <w:t>:</w:t>
      </w:r>
    </w:p>
    <w:p w:rsidR="00986533" w:rsidRDefault="00986533" w:rsidP="002D2974">
      <w:pPr>
        <w:pStyle w:val="BodyText"/>
      </w:pPr>
    </w:p>
    <w:p w:rsidR="00986533" w:rsidRDefault="00986533" w:rsidP="002D2974">
      <w:pPr>
        <w:pStyle w:val="BodyText"/>
        <w:tabs>
          <w:tab w:val="center" w:pos="2268"/>
          <w:tab w:val="right" w:pos="4536"/>
        </w:tabs>
        <w:ind w:firstLine="720"/>
      </w:pPr>
      <w:r w:rsidRPr="00342250">
        <w:rPr>
          <w:color w:val="000000"/>
          <w:position w:val="-32"/>
          <w:lang w:val="en-GB"/>
        </w:rPr>
        <w:object w:dxaOrig="1560" w:dyaOrig="720">
          <v:shape id="_x0000_i1028" type="#_x0000_t75" style="width:78pt;height:36pt" o:ole="">
            <v:imagedata r:id="rId9" o:title=""/>
          </v:shape>
          <o:OLEObject Type="Embed" ProgID="Equation.3" ShapeID="_x0000_i1028" DrawAspect="Content" ObjectID="_1531292164" r:id="rId10"/>
        </w:object>
      </w:r>
      <w:r>
        <w:t>,</w:t>
      </w:r>
      <w:r>
        <w:tab/>
        <w:t>(1)</w:t>
      </w:r>
    </w:p>
    <w:p w:rsidR="00986533" w:rsidRDefault="00986533" w:rsidP="002D2974">
      <w:pPr>
        <w:pStyle w:val="BodyText"/>
      </w:pPr>
    </w:p>
    <w:p w:rsidR="00986533" w:rsidRDefault="00986533" w:rsidP="002D2974">
      <w:pPr>
        <w:pStyle w:val="BodyText"/>
      </w:pPr>
      <w:r w:rsidRPr="00342250">
        <w:rPr>
          <w:color w:val="000000"/>
          <w:lang w:val="en-GB"/>
        </w:rPr>
        <w:t>where the used symbols have the following meanings:</w:t>
      </w:r>
    </w:p>
    <w:p w:rsidR="00986533" w:rsidRDefault="00986533" w:rsidP="002D2974">
      <w:pPr>
        <w:pStyle w:val="BodyText"/>
      </w:pPr>
      <w:r w:rsidRPr="00342250">
        <w:rPr>
          <w:i/>
          <w:color w:val="000000"/>
          <w:lang w:val="en-GB"/>
        </w:rPr>
        <w:t>t</w:t>
      </w:r>
      <w:r w:rsidRPr="00342250">
        <w:rPr>
          <w:color w:val="000000"/>
          <w:vertAlign w:val="subscript"/>
          <w:lang w:val="en-GB"/>
        </w:rPr>
        <w:t>(</w:t>
      </w:r>
      <w:r w:rsidRPr="00342250">
        <w:rPr>
          <w:i/>
          <w:color w:val="000000"/>
          <w:vertAlign w:val="subscript"/>
          <w:lang w:val="en-GB"/>
        </w:rPr>
        <w:t>i</w:t>
      </w:r>
      <w:r w:rsidRPr="00342250">
        <w:rPr>
          <w:color w:val="000000"/>
          <w:vertAlign w:val="subscript"/>
          <w:lang w:val="en-GB"/>
        </w:rPr>
        <w:t>)</w:t>
      </w:r>
      <w:r w:rsidRPr="00342250">
        <w:rPr>
          <w:color w:val="000000"/>
          <w:lang w:val="en-GB"/>
        </w:rPr>
        <w:tab/>
        <w:t xml:space="preserve">time of the </w:t>
      </w:r>
      <w:r w:rsidRPr="00342250">
        <w:rPr>
          <w:i/>
          <w:color w:val="000000"/>
          <w:lang w:val="en-GB"/>
        </w:rPr>
        <w:t>i</w:t>
      </w:r>
      <w:r w:rsidRPr="00342250">
        <w:rPr>
          <w:color w:val="000000"/>
          <w:vertAlign w:val="superscript"/>
          <w:lang w:val="en-GB"/>
        </w:rPr>
        <w:t>th</w:t>
      </w:r>
      <w:r w:rsidRPr="00342250">
        <w:rPr>
          <w:color w:val="000000"/>
          <w:lang w:val="en-GB"/>
        </w:rPr>
        <w:t xml:space="preserve"> reading,</w:t>
      </w:r>
    </w:p>
    <w:p w:rsidR="00986533" w:rsidRDefault="00986533" w:rsidP="002D2974">
      <w:pPr>
        <w:pStyle w:val="BodyText"/>
      </w:pPr>
      <w:r w:rsidRPr="00342250">
        <w:rPr>
          <w:i/>
          <w:color w:val="000000"/>
          <w:lang w:val="en-GB"/>
        </w:rPr>
        <w:t>t</w:t>
      </w:r>
      <w:r w:rsidRPr="00342250">
        <w:rPr>
          <w:color w:val="000000"/>
          <w:vertAlign w:val="subscript"/>
          <w:lang w:val="en-GB"/>
        </w:rPr>
        <w:t>(0)</w:t>
      </w:r>
      <w:r w:rsidRPr="00342250">
        <w:rPr>
          <w:color w:val="000000"/>
          <w:lang w:val="en-GB"/>
        </w:rPr>
        <w:tab/>
        <w:t>time of the initial reading,</w:t>
      </w:r>
    </w:p>
    <w:p w:rsidR="00986533" w:rsidRDefault="00986533" w:rsidP="002D2974">
      <w:pPr>
        <w:pStyle w:val="BodyText"/>
      </w:pPr>
      <w:r w:rsidRPr="00342250">
        <w:rPr>
          <w:i/>
          <w:color w:val="000000"/>
          <w:lang w:val="en-GB"/>
        </w:rPr>
        <w:t>m</w:t>
      </w:r>
      <w:r w:rsidRPr="00342250">
        <w:rPr>
          <w:color w:val="000000"/>
          <w:vertAlign w:val="subscript"/>
          <w:lang w:val="en-GB"/>
        </w:rPr>
        <w:t>(</w:t>
      </w:r>
      <w:r w:rsidRPr="00342250">
        <w:rPr>
          <w:i/>
          <w:color w:val="000000"/>
          <w:vertAlign w:val="subscript"/>
          <w:lang w:val="en-GB"/>
        </w:rPr>
        <w:t>i</w:t>
      </w:r>
      <w:r w:rsidRPr="00342250">
        <w:rPr>
          <w:color w:val="000000"/>
          <w:vertAlign w:val="subscript"/>
          <w:lang w:val="en-GB"/>
        </w:rPr>
        <w:t>)</w:t>
      </w:r>
      <w:r w:rsidRPr="00342250">
        <w:rPr>
          <w:color w:val="000000"/>
          <w:lang w:val="en-GB"/>
        </w:rPr>
        <w:tab/>
        <w:t xml:space="preserve">mass of the bottle in the </w:t>
      </w:r>
      <w:r w:rsidRPr="00342250">
        <w:rPr>
          <w:i/>
          <w:color w:val="000000"/>
          <w:lang w:val="en-GB"/>
        </w:rPr>
        <w:t>i</w:t>
      </w:r>
      <w:r w:rsidRPr="00342250">
        <w:rPr>
          <w:color w:val="000000"/>
          <w:vertAlign w:val="superscript"/>
          <w:lang w:val="en-GB"/>
        </w:rPr>
        <w:t>th</w:t>
      </w:r>
      <w:r w:rsidRPr="00342250">
        <w:rPr>
          <w:color w:val="000000"/>
          <w:lang w:val="en-GB"/>
        </w:rPr>
        <w:t xml:space="preserve"> reading,</w:t>
      </w:r>
    </w:p>
    <w:p w:rsidR="00986533" w:rsidRDefault="00986533" w:rsidP="002D2974">
      <w:pPr>
        <w:pStyle w:val="BodyText"/>
      </w:pPr>
      <w:r w:rsidRPr="00342250">
        <w:rPr>
          <w:i/>
          <w:color w:val="000000"/>
          <w:lang w:val="en-GB"/>
        </w:rPr>
        <w:t>m</w:t>
      </w:r>
      <w:r w:rsidRPr="00342250">
        <w:rPr>
          <w:color w:val="000000"/>
          <w:vertAlign w:val="subscript"/>
          <w:lang w:val="en-GB"/>
        </w:rPr>
        <w:t>(0)</w:t>
      </w:r>
      <w:r w:rsidRPr="00342250">
        <w:rPr>
          <w:color w:val="000000"/>
          <w:lang w:val="en-GB"/>
        </w:rPr>
        <w:tab/>
        <w:t>mass of the bottle in the initial reading.</w:t>
      </w:r>
    </w:p>
    <w:p w:rsidR="00986533" w:rsidRDefault="00986533">
      <w:pPr>
        <w:pStyle w:val="BodyText"/>
      </w:pPr>
    </w:p>
    <w:p w:rsidR="00986533" w:rsidRDefault="00986533">
      <w:pPr>
        <w:pStyle w:val="BodyText"/>
      </w:pPr>
      <w:r w:rsidRPr="00342250">
        <w:rPr>
          <w:color w:val="000000"/>
          <w:lang w:val="en-GB"/>
        </w:rPr>
        <w:t>These mass readings are automatically corrected for the buoyancy effect using data from the ambient conditions monitoring system and electronic balance drift by a regular automatic weighing of a precise tare mass.</w:t>
      </w:r>
      <w:r>
        <w:rPr>
          <w:color w:val="000000"/>
          <w:lang w:val="en-GB"/>
        </w:rPr>
        <w:t xml:space="preserve"> </w:t>
      </w:r>
      <w:r w:rsidRPr="00342250">
        <w:rPr>
          <w:color w:val="000000"/>
          <w:lang w:val="en-GB"/>
        </w:rPr>
        <w:t xml:space="preserve">The </w:t>
      </w:r>
      <w:r>
        <w:rPr>
          <w:color w:val="000000"/>
          <w:lang w:val="en-GB"/>
        </w:rPr>
        <w:t xml:space="preserve">original </w:t>
      </w:r>
      <w:r w:rsidRPr="00342250">
        <w:rPr>
          <w:color w:val="000000"/>
          <w:lang w:val="en-GB"/>
        </w:rPr>
        <w:t xml:space="preserve">working range of this calibration system is from 0.2 </w:t>
      </w:r>
      <w:r>
        <w:rPr>
          <w:color w:val="000000"/>
          <w:lang w:val="en-GB"/>
        </w:rPr>
        <w:t>to 200 mg/s, i.e. from 10 to 10</w:t>
      </w:r>
      <w:r w:rsidRPr="00342250">
        <w:rPr>
          <w:color w:val="000000"/>
          <w:lang w:val="en-GB"/>
        </w:rPr>
        <w:t>000 sccm, i.e. standard cm</w:t>
      </w:r>
      <w:r w:rsidRPr="00342250">
        <w:rPr>
          <w:color w:val="000000"/>
          <w:vertAlign w:val="superscript"/>
          <w:lang w:val="en-GB"/>
        </w:rPr>
        <w:t>3</w:t>
      </w:r>
      <w:r w:rsidRPr="00342250">
        <w:rPr>
          <w:color w:val="000000"/>
          <w:lang w:val="en-GB"/>
        </w:rPr>
        <w:t xml:space="preserve"> per minute, for nitrogen. (</w:t>
      </w:r>
      <w:r w:rsidRPr="00342250">
        <w:rPr>
          <w:color w:val="000000"/>
        </w:rPr>
        <w:t>Standard volumetric flow reference conditions are 101325 Pa and 0° C.</w:t>
      </w:r>
      <w:r w:rsidRPr="00342250">
        <w:rPr>
          <w:color w:val="000000"/>
          <w:lang w:val="en-GB"/>
        </w:rPr>
        <w:t xml:space="preserve">) This is the specification of the manufacturer, but our team managed to prove that </w:t>
      </w:r>
      <w:r w:rsidRPr="00AE5A10">
        <w:rPr>
          <w:color w:val="000000"/>
          <w:lang w:val="en-GB"/>
        </w:rPr>
        <w:t xml:space="preserve">this standard can be utilized in the range from 1 to 20000 sccm for nitrogen with only a minor increase of its uncertainty </w:t>
      </w:r>
      <w:r w:rsidRPr="00342250">
        <w:rPr>
          <w:color w:val="000000"/>
          <w:lang w:val="en-GB"/>
        </w:rPr>
        <w:t>[5].</w:t>
      </w:r>
    </w:p>
    <w:p w:rsidR="00986533" w:rsidRDefault="00986533">
      <w:pPr>
        <w:pStyle w:val="BodyText"/>
      </w:pPr>
    </w:p>
    <w:p w:rsidR="00986533" w:rsidRDefault="00986533" w:rsidP="008B29EC">
      <w:pPr>
        <w:pStyle w:val="BodyText"/>
      </w:pPr>
      <w:r w:rsidRPr="00342250">
        <w:rPr>
          <w:lang w:val="en-GB"/>
        </w:rPr>
        <w:t>The authors have determined the uncertainty of the mass flow defined by the standard in a way analogical to that publi</w:t>
      </w:r>
      <w:r>
        <w:rPr>
          <w:lang w:val="en-GB"/>
        </w:rPr>
        <w:t>shed by the manufacturer in [2]</w:t>
      </w:r>
      <w:r w:rsidRPr="00342250">
        <w:rPr>
          <w:lang w:val="en-GB"/>
        </w:rPr>
        <w:t>. Their value of the relative uncertainty</w:t>
      </w:r>
      <w:r w:rsidRPr="003C013A">
        <w:rPr>
          <w:i/>
          <w:lang w:val="en-GB"/>
        </w:rPr>
        <w:t xml:space="preserve"> </w:t>
      </w:r>
      <w:r>
        <w:rPr>
          <w:i/>
          <w:lang w:val="en-GB"/>
        </w:rPr>
        <w:t>U</w:t>
      </w:r>
      <w:r>
        <w:rPr>
          <w:vertAlign w:val="subscript"/>
          <w:lang w:val="en-GB"/>
        </w:rPr>
        <w:t>r</w:t>
      </w:r>
      <w:r w:rsidRPr="00342250">
        <w:rPr>
          <w:lang w:val="en-GB"/>
        </w:rPr>
        <w:t xml:space="preserve"> </w:t>
      </w:r>
      <w:r w:rsidRPr="00E16A32">
        <w:rPr>
          <w:color w:val="000000"/>
          <w:lang w:val="en-GB"/>
        </w:rPr>
        <w:t>[%] (</w:t>
      </w:r>
      <w:r w:rsidRPr="00E16A32">
        <w:rPr>
          <w:color w:val="000000"/>
        </w:rPr>
        <w:t xml:space="preserve">Unless stated otherwise, all uncertainties in this document have coverage factor of </w:t>
      </w:r>
      <w:r w:rsidRPr="00E16A32">
        <w:rPr>
          <w:i/>
          <w:color w:val="000000"/>
        </w:rPr>
        <w:t>k</w:t>
      </w:r>
      <w:r w:rsidRPr="00E16A32">
        <w:rPr>
          <w:color w:val="000000"/>
        </w:rPr>
        <w:t xml:space="preserve"> = 2, corresponding to an approximately 95 % confidence interval.</w:t>
      </w:r>
      <w:r w:rsidRPr="00E16A32">
        <w:rPr>
          <w:color w:val="000000"/>
          <w:lang w:val="en-GB"/>
        </w:rPr>
        <w:t xml:space="preserve">) </w:t>
      </w:r>
      <w:r w:rsidRPr="00AE5A10">
        <w:rPr>
          <w:color w:val="000000"/>
          <w:lang w:val="en-GB"/>
        </w:rPr>
        <w:t xml:space="preserve">depends on the flow rate </w:t>
      </w:r>
      <w:r w:rsidRPr="00AE5A10">
        <w:rPr>
          <w:i/>
          <w:color w:val="000000"/>
          <w:lang w:val="en-GB"/>
        </w:rPr>
        <w:t>Q</w:t>
      </w:r>
      <w:r w:rsidRPr="00AE5A10">
        <w:rPr>
          <w:color w:val="000000"/>
          <w:vertAlign w:val="subscript"/>
          <w:lang w:val="en-GB"/>
        </w:rPr>
        <w:t xml:space="preserve">m </w:t>
      </w:r>
      <w:r w:rsidRPr="00AE5A10">
        <w:rPr>
          <w:color w:val="000000"/>
          <w:lang w:val="en-GB"/>
        </w:rPr>
        <w:t xml:space="preserve">[mg/s] and the depleted mass </w:t>
      </w:r>
      <w:r w:rsidRPr="00AE5A10">
        <w:rPr>
          <w:i/>
          <w:color w:val="000000"/>
          <w:lang w:val="en-GB"/>
        </w:rPr>
        <w:t>m</w:t>
      </w:r>
      <w:r w:rsidRPr="00AE5A10">
        <w:rPr>
          <w:color w:val="000000"/>
          <w:vertAlign w:val="subscript"/>
          <w:lang w:val="en-GB"/>
        </w:rPr>
        <w:t xml:space="preserve">d </w:t>
      </w:r>
      <w:r w:rsidRPr="00AE5A10">
        <w:rPr>
          <w:color w:val="000000"/>
          <w:lang w:val="en-GB"/>
        </w:rPr>
        <w:t xml:space="preserve">[mg] for 1.1-liter pressure cylinder (in the range 1 to 20000 </w:t>
      </w:r>
      <w:r w:rsidRPr="004D16D1">
        <w:rPr>
          <w:color w:val="000000"/>
          <w:lang w:val="en-GB"/>
        </w:rPr>
        <w:t>sccm</w:t>
      </w:r>
      <w:r>
        <w:rPr>
          <w:color w:val="000000"/>
          <w:lang w:val="en-GB"/>
        </w:rPr>
        <w:t>)</w:t>
      </w:r>
      <w:r w:rsidRPr="00342250">
        <w:rPr>
          <w:lang w:val="en-GB"/>
        </w:rPr>
        <w:t>:</w:t>
      </w:r>
    </w:p>
    <w:p w:rsidR="00986533" w:rsidRDefault="00986533" w:rsidP="00674A09">
      <w:pPr>
        <w:pStyle w:val="BodyText"/>
      </w:pPr>
    </w:p>
    <w:p w:rsidR="00986533" w:rsidRDefault="00986533" w:rsidP="003C013A">
      <w:pPr>
        <w:pStyle w:val="BodyText"/>
        <w:tabs>
          <w:tab w:val="center" w:pos="2268"/>
          <w:tab w:val="right" w:pos="4536"/>
        </w:tabs>
      </w:pPr>
      <w:r w:rsidRPr="00342250">
        <w:rPr>
          <w:color w:val="FF0000"/>
          <w:position w:val="-34"/>
          <w:lang w:val="en-GB"/>
        </w:rPr>
        <w:object w:dxaOrig="4120" w:dyaOrig="880">
          <v:shape id="_x0000_i1029" type="#_x0000_t75" style="width:206.25pt;height:44.25pt" o:ole="">
            <v:imagedata r:id="rId11" o:title=""/>
          </v:shape>
          <o:OLEObject Type="Embed" ProgID="Equation.3" ShapeID="_x0000_i1029" DrawAspect="Content" ObjectID="_1531292165" r:id="rId12"/>
        </w:object>
      </w:r>
      <w:r>
        <w:tab/>
        <w:t>(2)</w:t>
      </w:r>
    </w:p>
    <w:p w:rsidR="00986533" w:rsidRDefault="00986533" w:rsidP="00674A09">
      <w:pPr>
        <w:pStyle w:val="BodyText"/>
      </w:pPr>
    </w:p>
    <w:p w:rsidR="00986533" w:rsidRDefault="00986533">
      <w:pPr>
        <w:pStyle w:val="BodyText"/>
      </w:pPr>
      <w:r>
        <w:rPr>
          <w:color w:val="000000"/>
          <w:lang w:val="en-GB"/>
        </w:rPr>
        <w:t>And for 1.5-liter cylinder it is</w:t>
      </w:r>
      <w:r w:rsidRPr="00342250">
        <w:rPr>
          <w:color w:val="000000"/>
          <w:lang w:val="en-GB"/>
        </w:rPr>
        <w:t>:</w:t>
      </w:r>
    </w:p>
    <w:p w:rsidR="00986533" w:rsidRDefault="00986533" w:rsidP="003C013A">
      <w:pPr>
        <w:pStyle w:val="BodyText"/>
      </w:pPr>
    </w:p>
    <w:p w:rsidR="00986533" w:rsidRDefault="00986533" w:rsidP="003C013A">
      <w:pPr>
        <w:pStyle w:val="BodyText"/>
        <w:tabs>
          <w:tab w:val="center" w:pos="2268"/>
          <w:tab w:val="right" w:pos="4536"/>
        </w:tabs>
      </w:pPr>
      <w:r w:rsidRPr="00342250">
        <w:rPr>
          <w:color w:val="FF0000"/>
          <w:position w:val="-34"/>
          <w:lang w:val="en-GB"/>
        </w:rPr>
        <w:object w:dxaOrig="4120" w:dyaOrig="880">
          <v:shape id="_x0000_i1030" type="#_x0000_t75" style="width:206.25pt;height:44.25pt" o:ole="">
            <v:imagedata r:id="rId13" o:title=""/>
          </v:shape>
          <o:OLEObject Type="Embed" ProgID="Equation.3" ShapeID="_x0000_i1030" DrawAspect="Content" ObjectID="_1531292166" r:id="rId14"/>
        </w:object>
      </w:r>
      <w:r>
        <w:tab/>
        <w:t>(3)</w:t>
      </w:r>
    </w:p>
    <w:p w:rsidR="00986533" w:rsidRDefault="00986533" w:rsidP="003C013A">
      <w:pPr>
        <w:pStyle w:val="BodyText"/>
      </w:pPr>
    </w:p>
    <w:p w:rsidR="00986533" w:rsidRDefault="00986533">
      <w:pPr>
        <w:pStyle w:val="BodyText"/>
      </w:pPr>
      <w:r w:rsidRPr="00342250">
        <w:rPr>
          <w:color w:val="000000"/>
          <w:lang w:val="en-GB"/>
        </w:rPr>
        <w:t xml:space="preserve">For </w:t>
      </w:r>
      <w:r w:rsidRPr="00342250">
        <w:rPr>
          <w:i/>
          <w:color w:val="000000"/>
          <w:lang w:val="en-GB"/>
        </w:rPr>
        <w:t>m</w:t>
      </w:r>
      <w:r w:rsidRPr="00342250">
        <w:rPr>
          <w:color w:val="000000"/>
          <w:vertAlign w:val="subscript"/>
          <w:lang w:val="en-GB"/>
        </w:rPr>
        <w:t>d</w:t>
      </w:r>
      <w:r w:rsidRPr="00342250">
        <w:rPr>
          <w:color w:val="000000"/>
          <w:lang w:val="en-GB"/>
        </w:rPr>
        <w:t xml:space="preserve"> </w:t>
      </w:r>
      <w:r w:rsidRPr="00342250">
        <w:rPr>
          <w:color w:val="000000"/>
          <w:position w:val="-4"/>
          <w:lang w:val="en-GB"/>
        </w:rPr>
        <w:object w:dxaOrig="200" w:dyaOrig="240">
          <v:shape id="_x0000_i1031" type="#_x0000_t75" style="width:9.75pt;height:12pt" o:ole="">
            <v:imagedata r:id="rId15" o:title=""/>
          </v:shape>
          <o:OLEObject Type="Embed" ProgID="Equation.3" ShapeID="_x0000_i1031" DrawAspect="Content" ObjectID="_1531292167" r:id="rId16"/>
        </w:object>
      </w:r>
      <w:r w:rsidRPr="00342250">
        <w:rPr>
          <w:color w:val="000000"/>
          <w:lang w:val="en-GB"/>
        </w:rPr>
        <w:t xml:space="preserve"> </w:t>
      </w:r>
      <w:smartTag w:uri="urn:schemas-microsoft-com:office:smarttags" w:element="metricconverter">
        <w:smartTagPr>
          <w:attr w:name="ProductID" w:val="7 g"/>
        </w:smartTagPr>
        <w:r w:rsidRPr="00342250">
          <w:rPr>
            <w:color w:val="000000"/>
            <w:lang w:val="en-GB"/>
          </w:rPr>
          <w:t>7 g</w:t>
        </w:r>
      </w:smartTag>
      <w:r w:rsidRPr="00342250">
        <w:rPr>
          <w:color w:val="000000"/>
          <w:lang w:val="en-GB"/>
        </w:rPr>
        <w:t xml:space="preserve"> is this value lower than 0.1</w:t>
      </w:r>
      <w:r>
        <w:rPr>
          <w:color w:val="000000"/>
          <w:lang w:val="en-GB"/>
        </w:rPr>
        <w:t>1</w:t>
      </w:r>
      <w:r w:rsidRPr="00342250">
        <w:rPr>
          <w:color w:val="000000"/>
          <w:lang w:val="en-GB"/>
        </w:rPr>
        <w:t> % of measured value. So this value also serves as recommended limit for minimal depleted mass of gas during one measurement.</w:t>
      </w:r>
      <w:r>
        <w:rPr>
          <w:color w:val="000000"/>
          <w:lang w:val="en-GB"/>
        </w:rPr>
        <w:t xml:space="preserve"> For the higher depleted masses (cca above 30 g) the specification of the manufacturer gives a little lower uncertainties (in the range </w:t>
      </w:r>
      <w:r w:rsidRPr="00342250">
        <w:rPr>
          <w:color w:val="000000"/>
          <w:lang w:val="en-GB"/>
        </w:rPr>
        <w:t>1</w:t>
      </w:r>
      <w:r>
        <w:rPr>
          <w:color w:val="000000"/>
          <w:lang w:val="en-GB"/>
        </w:rPr>
        <w:t>0</w:t>
      </w:r>
      <w:r w:rsidRPr="00342250">
        <w:rPr>
          <w:color w:val="000000"/>
          <w:lang w:val="en-GB"/>
        </w:rPr>
        <w:t xml:space="preserve"> </w:t>
      </w:r>
      <w:r w:rsidRPr="004D16D1">
        <w:rPr>
          <w:color w:val="000000"/>
          <w:lang w:val="en-GB"/>
        </w:rPr>
        <w:t>to 10000 sccm</w:t>
      </w:r>
      <w:r>
        <w:rPr>
          <w:color w:val="000000"/>
          <w:lang w:val="en-GB"/>
        </w:rPr>
        <w:t>):</w:t>
      </w:r>
    </w:p>
    <w:p w:rsidR="00986533" w:rsidRDefault="00986533" w:rsidP="009E6F08">
      <w:pPr>
        <w:pStyle w:val="BodyText"/>
      </w:pPr>
    </w:p>
    <w:p w:rsidR="00986533" w:rsidRDefault="00986533" w:rsidP="009E6F08">
      <w:pPr>
        <w:pStyle w:val="BodyText"/>
        <w:tabs>
          <w:tab w:val="center" w:pos="2268"/>
          <w:tab w:val="right" w:pos="4536"/>
        </w:tabs>
      </w:pPr>
      <w:r>
        <w:rPr>
          <w:color w:val="FF0000"/>
          <w:lang w:val="en-GB"/>
        </w:rPr>
        <w:tab/>
      </w:r>
      <w:r w:rsidRPr="009E6F08">
        <w:rPr>
          <w:color w:val="FF0000"/>
          <w:position w:val="-30"/>
          <w:lang w:val="en-GB"/>
        </w:rPr>
        <w:object w:dxaOrig="2900" w:dyaOrig="680">
          <v:shape id="_x0000_i1032" type="#_x0000_t75" style="width:143.25pt;height:33.75pt" o:ole="">
            <v:imagedata r:id="rId17" o:title=""/>
          </v:shape>
          <o:OLEObject Type="Embed" ProgID="Equation.3" ShapeID="_x0000_i1032" DrawAspect="Content" ObjectID="_1531292168" r:id="rId18"/>
        </w:object>
      </w:r>
      <w:r>
        <w:tab/>
        <w:t>(4)</w:t>
      </w:r>
    </w:p>
    <w:p w:rsidR="00986533" w:rsidRDefault="00986533">
      <w:pPr>
        <w:pStyle w:val="BodyText"/>
      </w:pPr>
    </w:p>
    <w:p w:rsidR="00986533" w:rsidRDefault="00986533">
      <w:pPr>
        <w:pStyle w:val="BodyText"/>
      </w:pPr>
      <w:r w:rsidRPr="00342250">
        <w:t>Expanded (</w:t>
      </w:r>
      <w:r w:rsidRPr="00342250">
        <w:rPr>
          <w:i/>
        </w:rPr>
        <w:t>k</w:t>
      </w:r>
      <w:r w:rsidRPr="00342250">
        <w:t xml:space="preserve"> = 2) relative uncertainties in the CMC rows of the CIPM MRA Key Compari</w:t>
      </w:r>
      <w:r>
        <w:t>so</w:t>
      </w:r>
      <w:r w:rsidRPr="00342250">
        <w:t xml:space="preserve">n DataBase </w:t>
      </w:r>
      <w:r>
        <w:t>are</w:t>
      </w:r>
      <w:r w:rsidRPr="00342250">
        <w:t xml:space="preserve"> the </w:t>
      </w:r>
      <w:r>
        <w:t>following</w:t>
      </w:r>
      <w:r w:rsidRPr="00342250">
        <w:t>:</w:t>
      </w:r>
    </w:p>
    <w:p w:rsidR="00986533" w:rsidRDefault="00986533">
      <w:pPr>
        <w:pStyle w:val="BodyText"/>
      </w:pPr>
      <w:r w:rsidRPr="00342250">
        <w:t>1 cm</w:t>
      </w:r>
      <w:r w:rsidRPr="00342250">
        <w:rPr>
          <w:vertAlign w:val="superscript"/>
        </w:rPr>
        <w:t>3</w:t>
      </w:r>
      <w:r w:rsidRPr="00342250">
        <w:t>/min</w:t>
      </w:r>
      <w:r>
        <w:t xml:space="preserve"> </w:t>
      </w:r>
      <w:r w:rsidRPr="00342250">
        <w:t>-</w:t>
      </w:r>
      <w:r>
        <w:t xml:space="preserve"> </w:t>
      </w:r>
      <w:r w:rsidRPr="00342250">
        <w:t>3 cm</w:t>
      </w:r>
      <w:r w:rsidRPr="00342250">
        <w:rPr>
          <w:vertAlign w:val="superscript"/>
        </w:rPr>
        <w:t>3</w:t>
      </w:r>
      <w:r w:rsidRPr="00342250">
        <w:t>/min: (–0.22248·</w:t>
      </w:r>
      <w:r w:rsidRPr="00342250">
        <w:rPr>
          <w:i/>
        </w:rPr>
        <w:t>Q</w:t>
      </w:r>
      <w:r w:rsidRPr="00342250">
        <w:t xml:space="preserve"> + 0.8895) %, where </w:t>
      </w:r>
      <w:r w:rsidRPr="00342250">
        <w:rPr>
          <w:i/>
        </w:rPr>
        <w:t>Q</w:t>
      </w:r>
      <w:r w:rsidRPr="00342250">
        <w:t xml:space="preserve"> is in cm</w:t>
      </w:r>
      <w:r w:rsidRPr="00342250">
        <w:rPr>
          <w:vertAlign w:val="superscript"/>
        </w:rPr>
        <w:t>3</w:t>
      </w:r>
      <w:r w:rsidRPr="00342250">
        <w:t>/min.</w:t>
      </w:r>
    </w:p>
    <w:p w:rsidR="00986533" w:rsidRDefault="00986533">
      <w:pPr>
        <w:pStyle w:val="BodyText"/>
      </w:pPr>
      <w:r w:rsidRPr="00342250">
        <w:t>3 cm</w:t>
      </w:r>
      <w:r w:rsidRPr="00342250">
        <w:rPr>
          <w:vertAlign w:val="superscript"/>
        </w:rPr>
        <w:t>3</w:t>
      </w:r>
      <w:r w:rsidRPr="00342250">
        <w:t>/min</w:t>
      </w:r>
      <w:r>
        <w:t xml:space="preserve"> </w:t>
      </w:r>
      <w:r w:rsidRPr="00342250">
        <w:t>-</w:t>
      </w:r>
      <w:r>
        <w:t xml:space="preserve"> </w:t>
      </w:r>
      <w:r w:rsidRPr="00342250">
        <w:t>10000 cm</w:t>
      </w:r>
      <w:r w:rsidRPr="00342250">
        <w:rPr>
          <w:vertAlign w:val="superscript"/>
        </w:rPr>
        <w:t>3</w:t>
      </w:r>
      <w:r w:rsidRPr="00342250">
        <w:t>/min: 0.15 %.</w:t>
      </w:r>
    </w:p>
    <w:p w:rsidR="00986533" w:rsidRDefault="00986533">
      <w:pPr>
        <w:pStyle w:val="BodyText"/>
      </w:pPr>
      <w:r w:rsidRPr="00342250">
        <w:t>10000 cm</w:t>
      </w:r>
      <w:r w:rsidRPr="00342250">
        <w:rPr>
          <w:vertAlign w:val="superscript"/>
        </w:rPr>
        <w:t>3</w:t>
      </w:r>
      <w:r w:rsidRPr="00342250">
        <w:t>/min</w:t>
      </w:r>
      <w:r>
        <w:t xml:space="preserve"> </w:t>
      </w:r>
      <w:r w:rsidRPr="00342250">
        <w:t>-</w:t>
      </w:r>
      <w:r>
        <w:t xml:space="preserve"> </w:t>
      </w:r>
      <w:r w:rsidRPr="0002127D">
        <w:rPr>
          <w:color w:val="000000"/>
        </w:rPr>
        <w:t xml:space="preserve">20000 </w:t>
      </w:r>
      <w:r w:rsidRPr="00342250">
        <w:t>cm</w:t>
      </w:r>
      <w:r w:rsidRPr="00342250">
        <w:rPr>
          <w:vertAlign w:val="superscript"/>
        </w:rPr>
        <w:t>3</w:t>
      </w:r>
      <w:r w:rsidRPr="00342250">
        <w:t>/min: 0.20 %.</w:t>
      </w:r>
    </w:p>
    <w:p w:rsidR="00986533" w:rsidRDefault="00986533">
      <w:pPr>
        <w:pStyle w:val="BodyText"/>
      </w:pPr>
    </w:p>
    <w:p w:rsidR="00986533" w:rsidRDefault="00986533">
      <w:pPr>
        <w:pStyle w:val="BodyText"/>
      </w:pPr>
      <w:r w:rsidRPr="00342250">
        <w:rPr>
          <w:color w:val="000000"/>
          <w:lang w:val="en-GB"/>
        </w:rPr>
        <w:t xml:space="preserve">Validation of this primary standard was performed by the successful participation in comparison with gas flow department of CMI, but also three international comparisons. These were EURAMET.MM.FF-S3 [6] in the range </w:t>
      </w:r>
      <w:r w:rsidRPr="00342250">
        <w:rPr>
          <w:color w:val="000000"/>
        </w:rPr>
        <w:t>0.1 standard L/min to 25 standard L/min</w:t>
      </w:r>
      <w:r w:rsidRPr="00342250">
        <w:rPr>
          <w:color w:val="000000"/>
          <w:lang w:val="en-GB"/>
        </w:rPr>
        <w:t xml:space="preserve">, then a bilateral comparison with Ljubljana University (Slovenia) [7] in the range </w:t>
      </w:r>
      <w:r w:rsidRPr="00342250">
        <w:rPr>
          <w:color w:val="000000"/>
        </w:rPr>
        <w:t>0.002 standard L/min to 44 standard L/min</w:t>
      </w:r>
      <w:r w:rsidRPr="00342250">
        <w:rPr>
          <w:color w:val="000000"/>
          <w:lang w:val="en-GB"/>
        </w:rPr>
        <w:t xml:space="preserve"> and a comparison with DHI-Fluke (USA), LNE (France), NIST (USA) and PTB (Germany) [8] in the range </w:t>
      </w:r>
      <w:r w:rsidRPr="00342250">
        <w:rPr>
          <w:color w:val="000000"/>
        </w:rPr>
        <w:t>0.01 standard L/min to 10 standard L/min</w:t>
      </w:r>
      <w:r w:rsidRPr="00342250">
        <w:rPr>
          <w:color w:val="000000"/>
          <w:lang w:val="en-GB"/>
        </w:rPr>
        <w:t xml:space="preserve">. These comparisons approved our CMCs, in fact in [8] we declared and confirmed </w:t>
      </w:r>
      <w:r w:rsidRPr="00342250">
        <w:t>an expanded relative uncertainty 0.1 %.</w:t>
      </w:r>
    </w:p>
    <w:p w:rsidR="00986533" w:rsidRDefault="00986533">
      <w:pPr>
        <w:pStyle w:val="BodyText"/>
      </w:pPr>
    </w:p>
    <w:p w:rsidR="00986533" w:rsidRPr="004D16D1" w:rsidRDefault="00986533">
      <w:pPr>
        <w:pStyle w:val="BodyText"/>
        <w:rPr>
          <w:color w:val="000000"/>
        </w:rPr>
      </w:pPr>
      <w:r w:rsidRPr="00342250">
        <w:rPr>
          <w:lang w:val="en-GB"/>
        </w:rPr>
        <w:t xml:space="preserve">There is a permanent demand for decreasing the uncertainty of low gas flow standards from the metrology community. The GFS gravimetric standard accuracy </w:t>
      </w:r>
      <w:r w:rsidRPr="00342250">
        <w:rPr>
          <w:color w:val="000000"/>
          <w:lang w:val="en-GB"/>
        </w:rPr>
        <w:t xml:space="preserve">depends mainly on the (in)accuracy of buoyancy corrections which are the main contribution to the uncertainty. Placing </w:t>
      </w:r>
      <w:r w:rsidRPr="00342250">
        <w:rPr>
          <w:color w:val="000000"/>
        </w:rPr>
        <w:t xml:space="preserve">the gas cylinder, mass handler, and electronic comparator under a vacuum bell jar for weighing in a vacuum, while </w:t>
      </w:r>
      <w:r w:rsidRPr="004D16D1">
        <w:rPr>
          <w:color w:val="000000"/>
        </w:rPr>
        <w:t>maintaining the catenary connection to the flow path,</w:t>
      </w:r>
      <w:r w:rsidRPr="004D16D1">
        <w:rPr>
          <w:color w:val="000000"/>
          <w:lang w:val="en-GB"/>
        </w:rPr>
        <w:t xml:space="preserve"> decreases these influences to practically zero, and results in a significant decrease of uncertainty of the national standard [9]. However</w:t>
      </w:r>
      <w:r w:rsidRPr="00342250">
        <w:rPr>
          <w:lang w:val="en-GB"/>
        </w:rPr>
        <w:t xml:space="preserve">, many technical problems related to weighing in vacuum had to be solved. Even, weighing in atmosphere, hermetically closed, where at constant air density and omitting the effects of </w:t>
      </w:r>
      <w:r w:rsidRPr="004D16D1">
        <w:rPr>
          <w:color w:val="000000"/>
          <w:lang w:val="en-GB"/>
        </w:rPr>
        <w:t xml:space="preserve">buoyancy on the resultant uncertainty are also rapidly eliminated, would be a significant contribution to the decrease of uncertainty. There are also other advantages. The first, </w:t>
      </w:r>
      <w:r>
        <w:rPr>
          <w:color w:val="000000"/>
          <w:lang w:val="en-GB"/>
        </w:rPr>
        <w:t>the</w:t>
      </w:r>
      <w:r w:rsidRPr="004D16D1">
        <w:rPr>
          <w:color w:val="000000"/>
          <w:lang w:val="en-GB"/>
        </w:rPr>
        <w:t xml:space="preserve"> vacuum-type, causes also an automatic increase of the upper range of GFS due to the lack of water vapour, the condensation of which at the weighted pressurized cylinder during a quick cooling of the surface under higher flow, which does not occur in vacuum. The second, </w:t>
      </w:r>
      <w:r>
        <w:rPr>
          <w:color w:val="000000"/>
          <w:lang w:val="en-GB"/>
        </w:rPr>
        <w:t xml:space="preserve">the </w:t>
      </w:r>
      <w:r w:rsidRPr="004D16D1">
        <w:rPr>
          <w:color w:val="000000"/>
          <w:lang w:val="en-GB"/>
        </w:rPr>
        <w:t>hermetic-type, provides at the same time for a substantial decrease of uncertainties of calibration of atmospheric freon leaks for high ranges, which are also calibrated by means of this device [10,11].</w:t>
      </w:r>
    </w:p>
    <w:p w:rsidR="00986533" w:rsidRDefault="00986533">
      <w:pPr>
        <w:pStyle w:val="BodyText"/>
      </w:pPr>
    </w:p>
    <w:p w:rsidR="00986533" w:rsidRDefault="00986533">
      <w:pPr>
        <w:pStyle w:val="Heading1"/>
      </w:pPr>
      <w:r>
        <w:t>2. Applicability of the GFS components in vacuum</w:t>
      </w:r>
    </w:p>
    <w:p w:rsidR="00986533" w:rsidRDefault="00986533" w:rsidP="00844209">
      <w:pPr>
        <w:pStyle w:val="BodyText"/>
      </w:pPr>
    </w:p>
    <w:p w:rsidR="00986533" w:rsidRDefault="00986533" w:rsidP="00844209">
      <w:pPr>
        <w:pStyle w:val="BodyText"/>
      </w:pPr>
      <w:r w:rsidRPr="00342250">
        <w:rPr>
          <w:lang w:val="en-GB"/>
        </w:rPr>
        <w:t>The first stage of solution was to find whether individual components of dynamic gravimeter withstand a vacuum. The main examined parts:</w:t>
      </w:r>
    </w:p>
    <w:p w:rsidR="00986533" w:rsidRPr="00073F3E" w:rsidRDefault="00986533" w:rsidP="00844209">
      <w:pPr>
        <w:pStyle w:val="BodyText"/>
        <w:rPr>
          <w:color w:val="000000"/>
        </w:rPr>
      </w:pPr>
      <w:r>
        <w:rPr>
          <w:lang w:val="en-GB"/>
        </w:rPr>
        <w:t>a) Electronic balance</w:t>
      </w:r>
      <w:r w:rsidRPr="001C10F6">
        <w:rPr>
          <w:lang w:val="en-GB"/>
        </w:rPr>
        <w:t xml:space="preserve"> </w:t>
      </w:r>
      <w:r w:rsidRPr="00342250">
        <w:rPr>
          <w:lang w:val="en-GB"/>
        </w:rPr>
        <w:t>– this evaluation was critical, since it is the most expensive component of the system. That is why the manufacturer (Mettler Toledo) was asked, whether this type of balance can be used in vacuum. The manufacturer answered that the balance can withstand the vacuum, but its metrological performance can change</w:t>
      </w:r>
      <w:r>
        <w:rPr>
          <w:color w:val="000000"/>
          <w:lang w:val="en-GB"/>
        </w:rPr>
        <w:t xml:space="preserve">. </w:t>
      </w:r>
      <w:r w:rsidRPr="004D16D1">
        <w:rPr>
          <w:color w:val="000000"/>
          <w:lang w:val="en-GB"/>
        </w:rPr>
        <w:t xml:space="preserve">We assumed the temperature stability of the 10watt balance as critical. </w:t>
      </w:r>
      <w:r>
        <w:rPr>
          <w:color w:val="000000"/>
        </w:rPr>
        <w:t>The balance</w:t>
      </w:r>
      <w:r w:rsidRPr="00073F3E">
        <w:rPr>
          <w:color w:val="000000"/>
        </w:rPr>
        <w:t xml:space="preserve"> is cooled with an elastic touch into the wall recipient.</w:t>
      </w:r>
      <w:r w:rsidRPr="004D16D1">
        <w:rPr>
          <w:color w:val="000000"/>
        </w:rPr>
        <w:t>We found that after pumping the atmosphere, a rapid drop of temperature approximately by 1°C occurs due to the gas expansion during pumping, but after about 10 hours the balance temperature stabilizes at cca 0.5 °C above the original value and increases no more.</w:t>
      </w:r>
      <w:r>
        <w:rPr>
          <w:color w:val="000000"/>
        </w:rPr>
        <w:t xml:space="preserve"> </w:t>
      </w:r>
    </w:p>
    <w:p w:rsidR="00986533" w:rsidRDefault="00986533" w:rsidP="00844209">
      <w:pPr>
        <w:pStyle w:val="BodyText"/>
      </w:pPr>
      <w:r>
        <w:rPr>
          <w:lang w:val="en-GB"/>
        </w:rPr>
        <w:t xml:space="preserve">b) </w:t>
      </w:r>
      <w:r w:rsidRPr="00342250">
        <w:rPr>
          <w:lang w:val="en-GB"/>
        </w:rPr>
        <w:t>AMH – automated mass handler - a system of motors, sensors and cams. The manufacturer confirmed a possible functionality in vacuum.</w:t>
      </w:r>
    </w:p>
    <w:p w:rsidR="00986533" w:rsidRDefault="00986533" w:rsidP="00844209">
      <w:pPr>
        <w:pStyle w:val="BodyText"/>
      </w:pPr>
      <w:r>
        <w:rPr>
          <w:lang w:val="en-GB"/>
        </w:rPr>
        <w:t xml:space="preserve">c) </w:t>
      </w:r>
      <w:r w:rsidRPr="00342250">
        <w:rPr>
          <w:lang w:val="en-GB"/>
        </w:rPr>
        <w:t xml:space="preserve">LCM – laboratory condition monitor – it need not be in vacuum completely, but its probes should monitor conditions in the vacuum recipient – pressurized cylinder (IR sensor) and electronic balance (Pt100) temperature and pressure in which the system </w:t>
      </w:r>
      <w:r>
        <w:rPr>
          <w:lang w:val="en-GB"/>
        </w:rPr>
        <w:t>operates</w:t>
      </w:r>
      <w:r w:rsidRPr="00342250">
        <w:rPr>
          <w:lang w:val="en-GB"/>
        </w:rPr>
        <w:t xml:space="preserve">. Temperature probes were found to be applicable, but </w:t>
      </w:r>
      <w:r>
        <w:rPr>
          <w:lang w:val="en-GB"/>
        </w:rPr>
        <w:t xml:space="preserve">the </w:t>
      </w:r>
      <w:r w:rsidRPr="00342250">
        <w:rPr>
          <w:lang w:val="en-GB"/>
        </w:rPr>
        <w:t xml:space="preserve">barometric probe of the LCM can </w:t>
      </w:r>
      <w:r>
        <w:rPr>
          <w:lang w:val="en-GB"/>
        </w:rPr>
        <w:t>work</w:t>
      </w:r>
      <w:r w:rsidRPr="00342250">
        <w:rPr>
          <w:lang w:val="en-GB"/>
        </w:rPr>
        <w:t xml:space="preserve"> only from 70 kPa to 130 kPa and does not enable measurement in vacuum. To measure the residual pressure, a different gauge was utilized – a Pirani vacuum gauge or an MKS Baratron. Moreover, the software controlling the gravimeter had a limitation not allowing the system to work outside the ambient pressure range from 70 kPa to 130 kPa. The system indicates non-measurable values in that case. This problem was eliminated in a co-operation with the manufacturer programmer.</w:t>
      </w:r>
    </w:p>
    <w:p w:rsidR="00986533" w:rsidRDefault="00986533" w:rsidP="00844209">
      <w:pPr>
        <w:pStyle w:val="BodyText"/>
      </w:pPr>
      <w:r>
        <w:rPr>
          <w:lang w:val="en-GB"/>
        </w:rPr>
        <w:t xml:space="preserve">d) </w:t>
      </w:r>
      <w:r w:rsidRPr="00342250">
        <w:rPr>
          <w:lang w:val="en-GB"/>
        </w:rPr>
        <w:t>Pressurized cylinder and flexible connecting capillary – these components withstand the vacuum without any problem. The difference of pressure is roughly 100 kPa and pressurized cylinder maximum filling pressure is 25 MPa, while it is filled only to 15 MPa, so it has a sufficient pressure reserve. Capillary operating pressure is 700 kPa but it can withstand up to 1 MPa, so a pressure reserve is sufficient, too.</w:t>
      </w:r>
    </w:p>
    <w:p w:rsidR="00986533" w:rsidRDefault="00986533" w:rsidP="00844209">
      <w:pPr>
        <w:pStyle w:val="BodyText"/>
      </w:pPr>
    </w:p>
    <w:p w:rsidR="00986533" w:rsidRDefault="00986533">
      <w:pPr>
        <w:pStyle w:val="Heading1"/>
      </w:pPr>
      <w:r>
        <w:t>3. Vacuum recipient for the GFS</w:t>
      </w:r>
    </w:p>
    <w:p w:rsidR="00986533" w:rsidRDefault="00986533" w:rsidP="00AB51F5">
      <w:pPr>
        <w:pStyle w:val="BodyText"/>
      </w:pPr>
    </w:p>
    <w:p w:rsidR="00986533" w:rsidRPr="00E16A32" w:rsidRDefault="00986533" w:rsidP="00AB51F5">
      <w:pPr>
        <w:pStyle w:val="BodyText"/>
        <w:rPr>
          <w:color w:val="000000"/>
        </w:rPr>
      </w:pPr>
      <w:r w:rsidRPr="00342250">
        <w:rPr>
          <w:lang w:val="en-GB"/>
        </w:rPr>
        <w:t xml:space="preserve">We assumed that to demonstrate the gravimeter new parameters, the international comparisons will have to be accomplished, in which it will be necessary to show a very low uncertainty of the standard. These comparisons have always a problem with a transfer standard, which does not exist for such low uncertainties. The only way how to compare it with other primary standard is a transportation of the whole gravimeter into the NMI, and to accomplish a direct comparison of both standards here. That is why we designed the vacuum recipient with an emphasis put on its transportability, see </w:t>
      </w:r>
      <w:r w:rsidRPr="00E16A32">
        <w:rPr>
          <w:color w:val="000000"/>
          <w:lang w:val="en-GB"/>
        </w:rPr>
        <w:t>Figure 2. However, the internal dimensions are a little larger than necessary to enable placement of the various equipment</w:t>
      </w:r>
      <w:r w:rsidRPr="00E16A32">
        <w:rPr>
          <w:color w:val="000000"/>
        </w:rPr>
        <w:t>.</w:t>
      </w:r>
    </w:p>
    <w:p w:rsidR="00986533" w:rsidRDefault="00986533">
      <w:pPr>
        <w:pStyle w:val="BodyText"/>
      </w:pPr>
    </w:p>
    <w:p w:rsidR="00986533" w:rsidRDefault="00986533">
      <w:pPr>
        <w:pStyle w:val="BodyText"/>
      </w:pPr>
      <w:r w:rsidRPr="001874E3">
        <w:rPr>
          <w:noProof/>
          <w:lang w:val="cs-CZ" w:eastAsia="cs-CZ"/>
        </w:rPr>
        <w:pict>
          <v:shape id="Obrázek 2" o:spid="_x0000_i1033" type="#_x0000_t75" style="width:226.5pt;height:189pt;visibility:visible">
            <v:imagedata r:id="rId19" o:title=""/>
          </v:shape>
        </w:pict>
      </w:r>
    </w:p>
    <w:p w:rsidR="00986533" w:rsidRDefault="00986533">
      <w:pPr>
        <w:pStyle w:val="Heading1"/>
      </w:pPr>
    </w:p>
    <w:p w:rsidR="00986533" w:rsidRPr="00A12E51" w:rsidRDefault="00986533" w:rsidP="00FF2D4B">
      <w:pPr>
        <w:pStyle w:val="Heading1"/>
        <w:rPr>
          <w:sz w:val="16"/>
        </w:rPr>
      </w:pPr>
      <w:r w:rsidRPr="00A12E51">
        <w:rPr>
          <w:sz w:val="16"/>
        </w:rPr>
        <w:t>Figure 2:</w:t>
      </w:r>
      <w:r w:rsidRPr="00FB3D6C">
        <w:rPr>
          <w:b w:val="0"/>
        </w:rPr>
        <w:t xml:space="preserve"> </w:t>
      </w:r>
      <w:r w:rsidRPr="00FB3D6C">
        <w:rPr>
          <w:b w:val="0"/>
          <w:sz w:val="16"/>
          <w:szCs w:val="16"/>
        </w:rPr>
        <w:t>Vacuum recipient for the GFS</w:t>
      </w:r>
      <w:r w:rsidRPr="00A12E51">
        <w:rPr>
          <w:b w:val="0"/>
          <w:sz w:val="16"/>
        </w:rPr>
        <w:t>.</w:t>
      </w:r>
    </w:p>
    <w:p w:rsidR="00986533" w:rsidRDefault="00986533" w:rsidP="00AE2593">
      <w:pPr>
        <w:pStyle w:val="BodyText"/>
      </w:pPr>
    </w:p>
    <w:p w:rsidR="00986533" w:rsidRDefault="00986533" w:rsidP="00FB3D6C">
      <w:pPr>
        <w:pStyle w:val="BodyText"/>
      </w:pPr>
      <w:r w:rsidRPr="00342250">
        <w:rPr>
          <w:lang w:val="en-GB"/>
        </w:rPr>
        <w:t>It is a simple stainless steel cylinder with the rubber sealings at its ends and welded-in vacuum fittings to connect pumping, measuring, electric and pneumatic connections. The cylinder has two strong duralumin lids to prevent their bending due to the atmospheric pressure. The lower lid is furnished with the legs and the upper lid is equipped with a mechanism to lift and turn it. The recipient is pumped in vacuum mode by the conventional dry vacuum pumps.</w:t>
      </w:r>
    </w:p>
    <w:p w:rsidR="00986533" w:rsidRDefault="00986533" w:rsidP="00EF2029">
      <w:pPr>
        <w:pStyle w:val="BodyText"/>
      </w:pPr>
    </w:p>
    <w:p w:rsidR="00986533" w:rsidRDefault="00986533" w:rsidP="00EF2029">
      <w:pPr>
        <w:pStyle w:val="BodyText"/>
      </w:pPr>
      <w:r w:rsidRPr="001874E3">
        <w:rPr>
          <w:noProof/>
          <w:lang w:val="cs-CZ" w:eastAsia="cs-CZ"/>
        </w:rPr>
        <w:pict>
          <v:shape id="Obrázek 8" o:spid="_x0000_i1034" type="#_x0000_t75" style="width:222pt;height:147pt;visibility:visible">
            <v:imagedata r:id="rId20" o:title="" croptop="-308f" cropbottom="-242f" cropleft="-145f" cropright="-203f"/>
          </v:shape>
        </w:pict>
      </w:r>
    </w:p>
    <w:p w:rsidR="00986533" w:rsidRDefault="00986533" w:rsidP="00EF2029">
      <w:pPr>
        <w:pStyle w:val="Heading1"/>
      </w:pPr>
    </w:p>
    <w:p w:rsidR="00986533" w:rsidRPr="00A12E51" w:rsidRDefault="00986533" w:rsidP="00EF2029">
      <w:pPr>
        <w:pStyle w:val="Heading1"/>
        <w:rPr>
          <w:sz w:val="16"/>
        </w:rPr>
      </w:pPr>
      <w:r w:rsidRPr="00A12E51">
        <w:rPr>
          <w:sz w:val="16"/>
        </w:rPr>
        <w:t xml:space="preserve">Figure </w:t>
      </w:r>
      <w:r>
        <w:rPr>
          <w:sz w:val="16"/>
        </w:rPr>
        <w:t>3</w:t>
      </w:r>
      <w:r w:rsidRPr="00A12E51">
        <w:rPr>
          <w:sz w:val="16"/>
        </w:rPr>
        <w:t>:</w:t>
      </w:r>
      <w:r w:rsidRPr="00FB3D6C">
        <w:rPr>
          <w:b w:val="0"/>
        </w:rPr>
        <w:t xml:space="preserve"> </w:t>
      </w:r>
      <w:r>
        <w:rPr>
          <w:b w:val="0"/>
          <w:sz w:val="16"/>
          <w:szCs w:val="16"/>
        </w:rPr>
        <w:t>Open v</w:t>
      </w:r>
      <w:r w:rsidRPr="00FB3D6C">
        <w:rPr>
          <w:b w:val="0"/>
          <w:sz w:val="16"/>
          <w:szCs w:val="16"/>
        </w:rPr>
        <w:t>acuum recipient for the GFS</w:t>
      </w:r>
      <w:r w:rsidRPr="00A12E51">
        <w:rPr>
          <w:b w:val="0"/>
          <w:sz w:val="16"/>
        </w:rPr>
        <w:t>.</w:t>
      </w:r>
    </w:p>
    <w:p w:rsidR="00986533" w:rsidRPr="00FF2D4B" w:rsidRDefault="00986533" w:rsidP="00FF2D4B">
      <w:pPr>
        <w:rPr>
          <w:sz w:val="20"/>
        </w:rPr>
      </w:pPr>
    </w:p>
    <w:p w:rsidR="00986533" w:rsidRDefault="00986533">
      <w:pPr>
        <w:pStyle w:val="Heading1"/>
      </w:pPr>
      <w:r>
        <w:t>4. Uncertainty budgets of the GFS</w:t>
      </w:r>
    </w:p>
    <w:p w:rsidR="00986533" w:rsidRDefault="00986533">
      <w:pPr>
        <w:pStyle w:val="BodyText"/>
      </w:pPr>
    </w:p>
    <w:p w:rsidR="00986533" w:rsidRDefault="00986533">
      <w:pPr>
        <w:pStyle w:val="BodyText"/>
        <w:rPr>
          <w:color w:val="000000"/>
          <w:lang w:val="cs-CZ"/>
        </w:rPr>
      </w:pPr>
      <w:r w:rsidRPr="00342250">
        <w:rPr>
          <w:color w:val="000000"/>
        </w:rPr>
        <w:t xml:space="preserve">When comparing </w:t>
      </w:r>
      <w:r>
        <w:rPr>
          <w:color w:val="000000"/>
        </w:rPr>
        <w:t xml:space="preserve">the </w:t>
      </w:r>
      <w:r w:rsidRPr="00342250">
        <w:rPr>
          <w:color w:val="000000"/>
        </w:rPr>
        <w:t xml:space="preserve">initial atmospheric weighing with the work in </w:t>
      </w:r>
      <w:r>
        <w:rPr>
          <w:color w:val="000000"/>
        </w:rPr>
        <w:t xml:space="preserve">the </w:t>
      </w:r>
      <w:r w:rsidRPr="00342250">
        <w:rPr>
          <w:color w:val="000000"/>
        </w:rPr>
        <w:t xml:space="preserve">special box, then the use of hermetic mode significantly </w:t>
      </w:r>
      <w:r>
        <w:rPr>
          <w:color w:val="000000"/>
        </w:rPr>
        <w:t>de</w:t>
      </w:r>
      <w:r w:rsidRPr="00342250">
        <w:rPr>
          <w:color w:val="000000"/>
        </w:rPr>
        <w:t>creases uncertainty of deter</w:t>
      </w:r>
      <w:r>
        <w:rPr>
          <w:color w:val="000000"/>
        </w:rPr>
        <w:t>-</w:t>
      </w:r>
      <w:r w:rsidRPr="00342250">
        <w:rPr>
          <w:color w:val="000000"/>
        </w:rPr>
        <w:t>mination of the change in mass of the pressurized cylinder</w:t>
      </w:r>
      <w:r>
        <w:rPr>
          <w:color w:val="000000"/>
        </w:rPr>
        <w:t>. We have two cylinders. The uncertainty budget for 1.1-liter cylinder</w:t>
      </w:r>
      <w:r w:rsidRPr="00342250">
        <w:rPr>
          <w:color w:val="000000"/>
        </w:rPr>
        <w:t xml:space="preserve"> </w:t>
      </w:r>
      <w:r>
        <w:rPr>
          <w:color w:val="000000"/>
        </w:rPr>
        <w:t>is shown in</w:t>
      </w:r>
      <w:r w:rsidRPr="00342250">
        <w:rPr>
          <w:color w:val="000000"/>
        </w:rPr>
        <w:t xml:space="preserve"> Fig</w:t>
      </w:r>
      <w:r>
        <w:rPr>
          <w:color w:val="000000"/>
        </w:rPr>
        <w:t>ure</w:t>
      </w:r>
      <w:r w:rsidRPr="00342250">
        <w:rPr>
          <w:color w:val="000000"/>
        </w:rPr>
        <w:t xml:space="preserve"> </w:t>
      </w:r>
      <w:r>
        <w:rPr>
          <w:color w:val="000000"/>
          <w:lang w:val="cs-CZ"/>
        </w:rPr>
        <w:t xml:space="preserve">4, a graph for </w:t>
      </w:r>
      <w:r>
        <w:rPr>
          <w:color w:val="000000"/>
        </w:rPr>
        <w:t>1.5-liter cylinder would be practically identical</w:t>
      </w:r>
      <w:r w:rsidRPr="00342250">
        <w:rPr>
          <w:color w:val="000000"/>
          <w:lang w:val="cs-CZ"/>
        </w:rPr>
        <w:t>.</w:t>
      </w:r>
    </w:p>
    <w:p w:rsidR="00986533" w:rsidRDefault="00986533" w:rsidP="009629A5">
      <w:pPr>
        <w:pStyle w:val="BodyText"/>
      </w:pPr>
    </w:p>
    <w:p w:rsidR="00986533" w:rsidRDefault="00986533" w:rsidP="009629A5">
      <w:pPr>
        <w:pStyle w:val="BodyText"/>
      </w:pPr>
      <w:r w:rsidRPr="001874E3">
        <w:rPr>
          <w:noProof/>
          <w:color w:val="000000"/>
          <w:lang w:val="cs-CZ" w:eastAsia="cs-CZ"/>
        </w:rPr>
        <w:pict>
          <v:shape id="obrázek 7" o:spid="_x0000_i1035" type="#_x0000_t75" style="width:224.25pt;height:186pt;visibility:visible">
            <v:imagedata r:id="rId21" o:title=""/>
          </v:shape>
        </w:pict>
      </w:r>
    </w:p>
    <w:p w:rsidR="00986533" w:rsidRDefault="00986533" w:rsidP="009629A5">
      <w:pPr>
        <w:pStyle w:val="Heading1"/>
      </w:pPr>
    </w:p>
    <w:p w:rsidR="00986533" w:rsidRPr="00A12E51" w:rsidRDefault="00986533" w:rsidP="009629A5">
      <w:pPr>
        <w:pStyle w:val="Heading1"/>
        <w:rPr>
          <w:sz w:val="16"/>
        </w:rPr>
      </w:pPr>
      <w:r w:rsidRPr="00A12E51">
        <w:rPr>
          <w:sz w:val="16"/>
        </w:rPr>
        <w:t xml:space="preserve">Figure </w:t>
      </w:r>
      <w:r>
        <w:rPr>
          <w:sz w:val="16"/>
        </w:rPr>
        <w:t>4</w:t>
      </w:r>
      <w:r w:rsidRPr="00A12E51">
        <w:rPr>
          <w:sz w:val="16"/>
        </w:rPr>
        <w:t>:</w:t>
      </w:r>
      <w:r w:rsidRPr="009629A5">
        <w:rPr>
          <w:b w:val="0"/>
        </w:rPr>
        <w:t xml:space="preserve"> </w:t>
      </w:r>
      <w:r w:rsidRPr="009629A5">
        <w:rPr>
          <w:b w:val="0"/>
          <w:color w:val="000000"/>
          <w:sz w:val="16"/>
          <w:szCs w:val="16"/>
        </w:rPr>
        <w:t>Uncertainty of the amount of flow for 1.1 liter cylinder in various modes – atmospheric mode – blue, hermetic mode – green, vacuum mode – red</w:t>
      </w:r>
      <w:r w:rsidRPr="00A12E51">
        <w:rPr>
          <w:b w:val="0"/>
          <w:sz w:val="16"/>
        </w:rPr>
        <w:t>.</w:t>
      </w:r>
      <w:r>
        <w:rPr>
          <w:b w:val="0"/>
          <w:sz w:val="16"/>
        </w:rPr>
        <w:t xml:space="preserve"> </w:t>
      </w:r>
      <w:r w:rsidRPr="00C368C6">
        <w:rPr>
          <w:rFonts w:ascii="Symbol" w:hAnsi="Symbol"/>
          <w:b w:val="0"/>
          <w:sz w:val="16"/>
        </w:rPr>
        <w:t></w:t>
      </w:r>
      <w:r w:rsidRPr="00C368C6">
        <w:rPr>
          <w:b w:val="0"/>
          <w:i/>
          <w:sz w:val="16"/>
        </w:rPr>
        <w:t>m</w:t>
      </w:r>
      <w:r>
        <w:rPr>
          <w:b w:val="0"/>
          <w:sz w:val="16"/>
        </w:rPr>
        <w:t xml:space="preserve">, </w:t>
      </w:r>
      <w:r w:rsidRPr="00C368C6">
        <w:rPr>
          <w:rFonts w:ascii="Symbol" w:hAnsi="Symbol"/>
          <w:b w:val="0"/>
          <w:sz w:val="16"/>
        </w:rPr>
        <w:t></w:t>
      </w:r>
      <w:r w:rsidRPr="00C368C6">
        <w:rPr>
          <w:b w:val="0"/>
          <w:i/>
          <w:sz w:val="16"/>
        </w:rPr>
        <w:t>m</w:t>
      </w:r>
      <w:r w:rsidRPr="00C368C6">
        <w:rPr>
          <w:b w:val="0"/>
          <w:sz w:val="16"/>
          <w:vertAlign w:val="subscript"/>
        </w:rPr>
        <w:t>corr</w:t>
      </w:r>
      <w:r>
        <w:rPr>
          <w:b w:val="0"/>
          <w:sz w:val="16"/>
        </w:rPr>
        <w:t xml:space="preserve">, </w:t>
      </w:r>
      <w:r w:rsidRPr="00C368C6">
        <w:rPr>
          <w:b w:val="0"/>
          <w:i/>
          <w:sz w:val="16"/>
        </w:rPr>
        <w:t>m</w:t>
      </w:r>
      <w:r w:rsidRPr="00C368C6">
        <w:rPr>
          <w:b w:val="0"/>
          <w:sz w:val="16"/>
          <w:vertAlign w:val="subscript"/>
        </w:rPr>
        <w:t>T</w:t>
      </w:r>
      <w:r>
        <w:rPr>
          <w:b w:val="0"/>
          <w:sz w:val="16"/>
        </w:rPr>
        <w:t xml:space="preserve"> – weighing, </w:t>
      </w:r>
      <w:r w:rsidRPr="00C368C6">
        <w:rPr>
          <w:rFonts w:ascii="Symbol" w:hAnsi="Symbol"/>
          <w:b w:val="0"/>
          <w:i/>
          <w:sz w:val="16"/>
        </w:rPr>
        <w:t></w:t>
      </w:r>
      <w:r w:rsidRPr="00C368C6">
        <w:rPr>
          <w:b w:val="0"/>
          <w:i/>
          <w:sz w:val="16"/>
          <w:vertAlign w:val="subscript"/>
        </w:rPr>
        <w:t>m</w:t>
      </w:r>
      <w:r>
        <w:rPr>
          <w:b w:val="0"/>
          <w:sz w:val="16"/>
        </w:rPr>
        <w:t xml:space="preserve"> – mass density,</w:t>
      </w:r>
      <w:r w:rsidRPr="00C368C6">
        <w:rPr>
          <w:rFonts w:ascii="Symbol" w:hAnsi="Symbol"/>
          <w:b w:val="0"/>
          <w:i/>
          <w:sz w:val="16"/>
        </w:rPr>
        <w:t></w:t>
      </w:r>
      <w:r>
        <w:rPr>
          <w:rFonts w:ascii="Symbol" w:hAnsi="Symbol"/>
          <w:b w:val="0"/>
          <w:sz w:val="16"/>
        </w:rPr>
        <w:t></w:t>
      </w:r>
      <w:r w:rsidRPr="00C368C6">
        <w:rPr>
          <w:rFonts w:ascii="Symbol" w:hAnsi="Symbol"/>
          <w:b w:val="0"/>
          <w:i/>
          <w:sz w:val="16"/>
        </w:rPr>
        <w:t></w:t>
      </w:r>
      <w:r>
        <w:rPr>
          <w:b w:val="0"/>
          <w:sz w:val="16"/>
          <w:vertAlign w:val="subscript"/>
        </w:rPr>
        <w:t>a</w:t>
      </w:r>
      <w:r>
        <w:rPr>
          <w:b w:val="0"/>
          <w:sz w:val="16"/>
        </w:rPr>
        <w:t xml:space="preserve">, </w:t>
      </w:r>
      <w:r w:rsidRPr="00C368C6">
        <w:rPr>
          <w:rFonts w:ascii="Symbol" w:hAnsi="Symbol"/>
          <w:b w:val="0"/>
          <w:i/>
          <w:sz w:val="16"/>
        </w:rPr>
        <w:t></w:t>
      </w:r>
      <w:r>
        <w:rPr>
          <w:b w:val="0"/>
          <w:sz w:val="16"/>
          <w:vertAlign w:val="subscript"/>
        </w:rPr>
        <w:t>a</w:t>
      </w:r>
      <w:r>
        <w:rPr>
          <w:b w:val="0"/>
          <w:sz w:val="16"/>
        </w:rPr>
        <w:t xml:space="preserve"> – atmospheric density,</w:t>
      </w:r>
      <w:r w:rsidRPr="00340852">
        <w:rPr>
          <w:b w:val="0"/>
          <w:i/>
          <w:sz w:val="16"/>
        </w:rPr>
        <w:t xml:space="preserve"> </w:t>
      </w:r>
      <w:r>
        <w:rPr>
          <w:b w:val="0"/>
          <w:i/>
          <w:sz w:val="16"/>
        </w:rPr>
        <w:t>V</w:t>
      </w:r>
      <w:r>
        <w:rPr>
          <w:b w:val="0"/>
          <w:sz w:val="16"/>
          <w:vertAlign w:val="subscript"/>
        </w:rPr>
        <w:t>ext</w:t>
      </w:r>
      <w:r>
        <w:rPr>
          <w:b w:val="0"/>
          <w:sz w:val="16"/>
        </w:rPr>
        <w:t xml:space="preserve">, </w:t>
      </w:r>
      <w:r>
        <w:rPr>
          <w:b w:val="0"/>
          <w:i/>
          <w:sz w:val="16"/>
        </w:rPr>
        <w:t>V</w:t>
      </w:r>
      <w:r>
        <w:rPr>
          <w:b w:val="0"/>
          <w:sz w:val="16"/>
          <w:vertAlign w:val="subscript"/>
        </w:rPr>
        <w:t>acc</w:t>
      </w:r>
      <w:r>
        <w:rPr>
          <w:b w:val="0"/>
          <w:sz w:val="16"/>
        </w:rPr>
        <w:t xml:space="preserve"> – volume,</w:t>
      </w:r>
      <w:r w:rsidRPr="00340852">
        <w:rPr>
          <w:rFonts w:ascii="Symbol" w:hAnsi="Symbol"/>
          <w:b w:val="0"/>
          <w:i/>
          <w:sz w:val="16"/>
        </w:rPr>
        <w:t></w:t>
      </w:r>
      <w:r>
        <w:rPr>
          <w:rFonts w:ascii="Symbol" w:hAnsi="Symbol"/>
          <w:b w:val="0"/>
          <w:i/>
          <w:sz w:val="16"/>
        </w:rPr>
        <w:t></w:t>
      </w:r>
      <w:r>
        <w:rPr>
          <w:b w:val="0"/>
          <w:sz w:val="16"/>
        </w:rPr>
        <w:t xml:space="preserve"> – thermal expansion and </w:t>
      </w:r>
      <w:r w:rsidRPr="00984CB7">
        <w:rPr>
          <w:rFonts w:ascii="Symbol" w:hAnsi="Symbol"/>
          <w:b w:val="0"/>
          <w:sz w:val="16"/>
        </w:rPr>
        <w:t></w:t>
      </w:r>
      <w:r w:rsidRPr="00C368C6">
        <w:rPr>
          <w:rFonts w:ascii="Symbol" w:hAnsi="Symbol"/>
          <w:b w:val="0"/>
          <w:sz w:val="16"/>
        </w:rPr>
        <w:t></w:t>
      </w:r>
      <w:r>
        <w:rPr>
          <w:b w:val="0"/>
          <w:i/>
          <w:sz w:val="16"/>
        </w:rPr>
        <w:t>T</w:t>
      </w:r>
      <w:r>
        <w:rPr>
          <w:b w:val="0"/>
          <w:sz w:val="16"/>
          <w:vertAlign w:val="subscript"/>
        </w:rPr>
        <w:t>IR</w:t>
      </w:r>
      <w:r>
        <w:rPr>
          <w:b w:val="0"/>
          <w:sz w:val="16"/>
        </w:rPr>
        <w:t xml:space="preserve"> – temperature measurement influence.</w:t>
      </w:r>
    </w:p>
    <w:p w:rsidR="00986533" w:rsidRDefault="00986533" w:rsidP="009578E8">
      <w:pPr>
        <w:pStyle w:val="BodyText"/>
      </w:pPr>
    </w:p>
    <w:p w:rsidR="00986533" w:rsidRDefault="00986533" w:rsidP="009578E8">
      <w:pPr>
        <w:pStyle w:val="BodyText"/>
      </w:pPr>
      <w:r w:rsidRPr="00342250">
        <w:rPr>
          <w:color w:val="000000"/>
        </w:rPr>
        <w:t xml:space="preserve">As it is seen, vacuum mode is not such a significant advantage; however another issue must be also accounted for. This is a </w:t>
      </w:r>
      <w:r>
        <w:rPr>
          <w:color w:val="000000"/>
        </w:rPr>
        <w:t xml:space="preserve">prevention of </w:t>
      </w:r>
      <w:r w:rsidRPr="00342250">
        <w:rPr>
          <w:color w:val="000000"/>
        </w:rPr>
        <w:t>water condensation on the cylinder surface during higher flows.</w:t>
      </w:r>
      <w:r>
        <w:rPr>
          <w:color w:val="000000"/>
        </w:rPr>
        <w:t xml:space="preserve"> </w:t>
      </w:r>
      <w:r w:rsidRPr="00342250">
        <w:rPr>
          <w:color w:val="000000"/>
        </w:rPr>
        <w:t>However, a decrease of uncertainty of weighing will not reflect into the whole range of applicable flows and especially of amounts of flow, due to the influence of the time measurement uncertainty, see Fig</w:t>
      </w:r>
      <w:r>
        <w:rPr>
          <w:color w:val="000000"/>
        </w:rPr>
        <w:t>ure</w:t>
      </w:r>
      <w:r w:rsidRPr="00342250">
        <w:rPr>
          <w:color w:val="000000"/>
        </w:rPr>
        <w:t xml:space="preserve"> </w:t>
      </w:r>
      <w:r>
        <w:rPr>
          <w:color w:val="000000"/>
        </w:rPr>
        <w:t>5</w:t>
      </w:r>
      <w:r w:rsidRPr="00342250">
        <w:rPr>
          <w:color w:val="000000"/>
        </w:rPr>
        <w:t>.</w:t>
      </w:r>
      <w:r>
        <w:rPr>
          <w:color w:val="000000"/>
        </w:rPr>
        <w:t xml:space="preserve"> </w:t>
      </w:r>
      <w:r w:rsidRPr="00342250">
        <w:rPr>
          <w:color w:val="000000"/>
        </w:rPr>
        <w:t>While for the small flows and the smaller depleted amounts, the uncertainty in hermetic mode decreases four times and in the vacuum mode decreases nearly five times, then for the great depleted amounts the manufacturer declares the uncertainty lower by nearly 7 %.</w:t>
      </w:r>
      <w:r w:rsidRPr="00342250">
        <w:rPr>
          <w:color w:val="000000"/>
          <w:lang w:val="cs-CZ"/>
        </w:rPr>
        <w:t xml:space="preserve"> </w:t>
      </w:r>
      <w:r>
        <w:rPr>
          <w:color w:val="000000"/>
        </w:rPr>
        <w:t>However, i</w:t>
      </w:r>
      <w:r w:rsidRPr="00342250">
        <w:rPr>
          <w:color w:val="000000"/>
        </w:rPr>
        <w:t xml:space="preserve">t should be taken into account that the manufacture’s declaration is one thing and the uncertainty acknowledged by CMC is the other thing. Only </w:t>
      </w:r>
      <w:r w:rsidRPr="00342250">
        <w:rPr>
          <w:color w:val="000000"/>
          <w:lang w:val="cs-CZ"/>
        </w:rPr>
        <w:t>a few</w:t>
      </w:r>
      <w:r w:rsidRPr="00342250">
        <w:rPr>
          <w:color w:val="000000"/>
        </w:rPr>
        <w:t xml:space="preserve"> national metrology laboratories all over the world can provide the conservative uncertainty level of 0.05 % (</w:t>
      </w:r>
      <w:r w:rsidRPr="008127E2">
        <w:rPr>
          <w:i/>
          <w:color w:val="000000"/>
        </w:rPr>
        <w:t>k</w:t>
      </w:r>
      <w:r w:rsidRPr="00342250">
        <w:rPr>
          <w:color w:val="000000"/>
        </w:rPr>
        <w:t xml:space="preserve"> = 2) from</w:t>
      </w:r>
      <w:r w:rsidRPr="00342250">
        <w:rPr>
          <w:color w:val="000000"/>
          <w:lang w:val="cs-CZ"/>
        </w:rPr>
        <w:t xml:space="preserve"> </w:t>
      </w:r>
      <w:r w:rsidRPr="00342250">
        <w:rPr>
          <w:color w:val="000000"/>
        </w:rPr>
        <w:t>the</w:t>
      </w:r>
      <w:r w:rsidRPr="00342250">
        <w:rPr>
          <w:color w:val="000000"/>
          <w:lang w:val="cs-CZ"/>
        </w:rPr>
        <w:t xml:space="preserve"> </w:t>
      </w:r>
      <w:r w:rsidRPr="00342250">
        <w:rPr>
          <w:color w:val="000000"/>
        </w:rPr>
        <w:t>measured</w:t>
      </w:r>
      <w:r w:rsidRPr="00342250">
        <w:rPr>
          <w:color w:val="000000"/>
          <w:lang w:val="cs-CZ"/>
        </w:rPr>
        <w:t xml:space="preserve"> </w:t>
      </w:r>
      <w:r w:rsidRPr="00342250">
        <w:rPr>
          <w:color w:val="000000"/>
        </w:rPr>
        <w:t>value</w:t>
      </w:r>
      <w:r w:rsidRPr="00342250">
        <w:rPr>
          <w:color w:val="000000"/>
          <w:lang w:val="cs-CZ"/>
        </w:rPr>
        <w:t>.</w:t>
      </w:r>
    </w:p>
    <w:p w:rsidR="00986533" w:rsidRDefault="00986533" w:rsidP="009578E8">
      <w:pPr>
        <w:pStyle w:val="BodyText"/>
      </w:pPr>
    </w:p>
    <w:p w:rsidR="00986533" w:rsidRDefault="00986533" w:rsidP="009578E8">
      <w:pPr>
        <w:pStyle w:val="BodyText"/>
      </w:pPr>
      <w:r w:rsidRPr="001874E3">
        <w:rPr>
          <w:noProof/>
          <w:color w:val="000000"/>
          <w:lang w:val="cs-CZ" w:eastAsia="cs-CZ"/>
        </w:rPr>
        <w:pict>
          <v:shape id="_x0000_i1036" type="#_x0000_t75" style="width:225.75pt;height:156pt;visibility:visible">
            <v:imagedata r:id="rId22" o:title=""/>
          </v:shape>
        </w:pict>
      </w:r>
    </w:p>
    <w:p w:rsidR="00986533" w:rsidRDefault="00986533" w:rsidP="009578E8">
      <w:pPr>
        <w:pStyle w:val="Heading1"/>
      </w:pPr>
    </w:p>
    <w:p w:rsidR="00986533" w:rsidRPr="009578E8" w:rsidRDefault="00986533" w:rsidP="009578E8">
      <w:pPr>
        <w:pStyle w:val="Heading1"/>
        <w:rPr>
          <w:b w:val="0"/>
          <w:sz w:val="16"/>
        </w:rPr>
      </w:pPr>
      <w:r w:rsidRPr="00A12E51">
        <w:rPr>
          <w:sz w:val="16"/>
        </w:rPr>
        <w:t xml:space="preserve">Figure </w:t>
      </w:r>
      <w:r>
        <w:rPr>
          <w:sz w:val="16"/>
        </w:rPr>
        <w:t>5</w:t>
      </w:r>
      <w:r w:rsidRPr="00A12E51">
        <w:rPr>
          <w:sz w:val="16"/>
        </w:rPr>
        <w:t>:</w:t>
      </w:r>
      <w:r w:rsidRPr="009629A5">
        <w:rPr>
          <w:b w:val="0"/>
        </w:rPr>
        <w:t xml:space="preserve"> </w:t>
      </w:r>
      <w:r w:rsidRPr="009578E8">
        <w:rPr>
          <w:b w:val="0"/>
          <w:color w:val="000000"/>
          <w:sz w:val="16"/>
          <w:szCs w:val="16"/>
        </w:rPr>
        <w:t>Comparison of relative uncertainties of flow for various modes – 200 mg/s –thick line, 0</w:t>
      </w:r>
      <w:r>
        <w:rPr>
          <w:b w:val="0"/>
          <w:color w:val="000000"/>
          <w:sz w:val="16"/>
          <w:szCs w:val="16"/>
        </w:rPr>
        <w:t>.</w:t>
      </w:r>
      <w:r w:rsidRPr="009578E8">
        <w:rPr>
          <w:b w:val="0"/>
          <w:color w:val="000000"/>
          <w:sz w:val="16"/>
          <w:szCs w:val="16"/>
        </w:rPr>
        <w:t>2 mg/s – thin line, DHI specifications – black, atmospheric mode – blue line, hermetic mode – green, vacuum mode – red line, 1.5 liter cylinder - broken line</w:t>
      </w:r>
      <w:r w:rsidRPr="009578E8">
        <w:rPr>
          <w:b w:val="0"/>
          <w:sz w:val="16"/>
        </w:rPr>
        <w:t>.</w:t>
      </w:r>
    </w:p>
    <w:p w:rsidR="00986533" w:rsidRDefault="00986533">
      <w:pPr>
        <w:pStyle w:val="BodyText"/>
      </w:pPr>
    </w:p>
    <w:p w:rsidR="00986533" w:rsidRDefault="00986533" w:rsidP="00212077">
      <w:pPr>
        <w:pStyle w:val="BodyText"/>
      </w:pPr>
      <w:r w:rsidRPr="00342250">
        <w:rPr>
          <w:lang w:val="en-GB"/>
        </w:rPr>
        <w:t>The relative uncertainty</w:t>
      </w:r>
      <w:r>
        <w:rPr>
          <w:lang w:val="en-GB"/>
        </w:rPr>
        <w:t xml:space="preserve"> in the hermetic mode</w:t>
      </w:r>
      <w:r w:rsidRPr="003C013A">
        <w:rPr>
          <w:i/>
          <w:lang w:val="en-GB"/>
        </w:rPr>
        <w:t xml:space="preserve"> </w:t>
      </w:r>
      <w:r>
        <w:rPr>
          <w:lang w:val="en-GB"/>
        </w:rPr>
        <w:t xml:space="preserve">for 1.1-liter pressure cylinder is </w:t>
      </w:r>
      <w:r>
        <w:rPr>
          <w:color w:val="000000"/>
          <w:lang w:val="en-GB"/>
        </w:rPr>
        <w:t xml:space="preserve">(in the range </w:t>
      </w:r>
      <w:r w:rsidRPr="00342250">
        <w:rPr>
          <w:color w:val="000000"/>
          <w:lang w:val="en-GB"/>
        </w:rPr>
        <w:t xml:space="preserve">1 </w:t>
      </w:r>
      <w:r w:rsidRPr="00AE5A10">
        <w:rPr>
          <w:color w:val="000000"/>
          <w:lang w:val="en-GB"/>
        </w:rPr>
        <w:t>to 20000 sccm</w:t>
      </w:r>
      <w:r>
        <w:rPr>
          <w:color w:val="000000"/>
          <w:lang w:val="en-GB"/>
        </w:rPr>
        <w:t>)</w:t>
      </w:r>
      <w:r w:rsidRPr="00342250">
        <w:rPr>
          <w:lang w:val="en-GB"/>
        </w:rPr>
        <w:t>:</w:t>
      </w:r>
    </w:p>
    <w:p w:rsidR="00986533" w:rsidRDefault="00986533" w:rsidP="00212077">
      <w:pPr>
        <w:pStyle w:val="BodyText"/>
      </w:pPr>
    </w:p>
    <w:p w:rsidR="00986533" w:rsidRDefault="00986533" w:rsidP="00212077">
      <w:pPr>
        <w:pStyle w:val="BodyText"/>
        <w:tabs>
          <w:tab w:val="center" w:pos="2268"/>
          <w:tab w:val="right" w:pos="4536"/>
        </w:tabs>
      </w:pPr>
      <w:r w:rsidRPr="00342250">
        <w:rPr>
          <w:color w:val="FF0000"/>
          <w:position w:val="-34"/>
          <w:lang w:val="en-GB"/>
        </w:rPr>
        <w:object w:dxaOrig="4120" w:dyaOrig="880">
          <v:shape id="_x0000_i1037" type="#_x0000_t75" style="width:206.25pt;height:44.25pt" o:ole="">
            <v:imagedata r:id="rId23" o:title=""/>
          </v:shape>
          <o:OLEObject Type="Embed" ProgID="Equation.3" ShapeID="_x0000_i1037" DrawAspect="Content" ObjectID="_1531292169" r:id="rId24"/>
        </w:object>
      </w:r>
      <w:r>
        <w:tab/>
        <w:t>(5)</w:t>
      </w:r>
    </w:p>
    <w:p w:rsidR="00986533" w:rsidRDefault="00986533" w:rsidP="00212077">
      <w:pPr>
        <w:pStyle w:val="BodyText"/>
      </w:pPr>
    </w:p>
    <w:p w:rsidR="00986533" w:rsidRDefault="00986533" w:rsidP="00212077">
      <w:pPr>
        <w:pStyle w:val="BodyText"/>
      </w:pPr>
      <w:r>
        <w:rPr>
          <w:color w:val="000000"/>
          <w:lang w:val="en-GB"/>
        </w:rPr>
        <w:t>And for 1.5-liter cylinder it is</w:t>
      </w:r>
      <w:r w:rsidRPr="00342250">
        <w:rPr>
          <w:color w:val="000000"/>
          <w:lang w:val="en-GB"/>
        </w:rPr>
        <w:t>:</w:t>
      </w:r>
    </w:p>
    <w:p w:rsidR="00986533" w:rsidRDefault="00986533" w:rsidP="00212077">
      <w:pPr>
        <w:pStyle w:val="BodyText"/>
      </w:pPr>
    </w:p>
    <w:p w:rsidR="00986533" w:rsidRDefault="00986533" w:rsidP="00212077">
      <w:pPr>
        <w:pStyle w:val="BodyText"/>
        <w:tabs>
          <w:tab w:val="center" w:pos="2268"/>
          <w:tab w:val="right" w:pos="4536"/>
        </w:tabs>
      </w:pPr>
      <w:r w:rsidRPr="00342250">
        <w:rPr>
          <w:color w:val="FF0000"/>
          <w:position w:val="-34"/>
          <w:lang w:val="en-GB"/>
        </w:rPr>
        <w:object w:dxaOrig="4099" w:dyaOrig="880">
          <v:shape id="_x0000_i1038" type="#_x0000_t75" style="width:204.75pt;height:44.25pt" o:ole="">
            <v:imagedata r:id="rId25" o:title=""/>
          </v:shape>
          <o:OLEObject Type="Embed" ProgID="Equation.3" ShapeID="_x0000_i1038" DrawAspect="Content" ObjectID="_1531292170" r:id="rId26"/>
        </w:object>
      </w:r>
      <w:r>
        <w:tab/>
        <w:t>(6)</w:t>
      </w:r>
    </w:p>
    <w:p w:rsidR="00986533" w:rsidRDefault="00986533" w:rsidP="00212077">
      <w:pPr>
        <w:pStyle w:val="BodyText"/>
      </w:pPr>
    </w:p>
    <w:p w:rsidR="00986533" w:rsidRDefault="00986533" w:rsidP="00212077">
      <w:pPr>
        <w:pStyle w:val="BodyText"/>
      </w:pPr>
      <w:r>
        <w:rPr>
          <w:color w:val="000000"/>
          <w:lang w:val="en-GB"/>
        </w:rPr>
        <w:t>The condition</w:t>
      </w:r>
      <w:r w:rsidRPr="00342250">
        <w:rPr>
          <w:color w:val="000000"/>
          <w:lang w:val="en-GB"/>
        </w:rPr>
        <w:t xml:space="preserve"> </w:t>
      </w:r>
      <w:r w:rsidRPr="00342250">
        <w:rPr>
          <w:i/>
          <w:color w:val="000000"/>
          <w:lang w:val="en-GB"/>
        </w:rPr>
        <w:t>m</w:t>
      </w:r>
      <w:r w:rsidRPr="00342250">
        <w:rPr>
          <w:color w:val="000000"/>
          <w:vertAlign w:val="subscript"/>
          <w:lang w:val="en-GB"/>
        </w:rPr>
        <w:t>d</w:t>
      </w:r>
      <w:r w:rsidRPr="00342250">
        <w:rPr>
          <w:color w:val="000000"/>
          <w:lang w:val="en-GB"/>
        </w:rPr>
        <w:t xml:space="preserve"> </w:t>
      </w:r>
      <w:r w:rsidRPr="00342250">
        <w:rPr>
          <w:color w:val="000000"/>
          <w:position w:val="-4"/>
          <w:lang w:val="en-GB"/>
        </w:rPr>
        <w:object w:dxaOrig="200" w:dyaOrig="240">
          <v:shape id="_x0000_i1039" type="#_x0000_t75" style="width:9.75pt;height:12pt" o:ole="">
            <v:imagedata r:id="rId15" o:title=""/>
          </v:shape>
          <o:OLEObject Type="Embed" ProgID="Equation.3" ShapeID="_x0000_i1039" DrawAspect="Content" ObjectID="_1531292171" r:id="rId27"/>
        </w:object>
      </w:r>
      <w:r w:rsidRPr="00342250">
        <w:rPr>
          <w:color w:val="000000"/>
          <w:lang w:val="en-GB"/>
        </w:rPr>
        <w:t xml:space="preserve"> 7 g </w:t>
      </w:r>
      <w:r>
        <w:rPr>
          <w:color w:val="000000"/>
          <w:lang w:val="en-GB"/>
        </w:rPr>
        <w:t>now gives the maximum uncertainty</w:t>
      </w:r>
      <w:r w:rsidRPr="00342250">
        <w:rPr>
          <w:color w:val="000000"/>
          <w:lang w:val="en-GB"/>
        </w:rPr>
        <w:t xml:space="preserve"> 0.</w:t>
      </w:r>
      <w:r>
        <w:rPr>
          <w:color w:val="000000"/>
          <w:lang w:val="en-GB"/>
        </w:rPr>
        <w:t>09</w:t>
      </w:r>
      <w:r w:rsidRPr="00342250">
        <w:rPr>
          <w:color w:val="000000"/>
          <w:lang w:val="en-GB"/>
        </w:rPr>
        <w:t xml:space="preserve"> % of measured </w:t>
      </w:r>
      <w:r w:rsidRPr="00AE5A10">
        <w:rPr>
          <w:color w:val="000000"/>
          <w:lang w:val="en-GB"/>
        </w:rPr>
        <w:t xml:space="preserve">value for 20000 sccm </w:t>
      </w:r>
      <w:r>
        <w:rPr>
          <w:color w:val="000000"/>
          <w:lang w:val="en-GB"/>
        </w:rPr>
        <w:t>flowrate, but usually much lower</w:t>
      </w:r>
      <w:r w:rsidRPr="00342250">
        <w:rPr>
          <w:color w:val="000000"/>
          <w:lang w:val="en-GB"/>
        </w:rPr>
        <w:t>.</w:t>
      </w:r>
    </w:p>
    <w:p w:rsidR="00986533" w:rsidRDefault="00986533" w:rsidP="00212077">
      <w:pPr>
        <w:pStyle w:val="BodyText"/>
      </w:pPr>
    </w:p>
    <w:p w:rsidR="00986533" w:rsidRDefault="00986533" w:rsidP="00D34710">
      <w:pPr>
        <w:pStyle w:val="BodyText"/>
      </w:pPr>
      <w:r w:rsidRPr="00342250">
        <w:rPr>
          <w:lang w:val="en-GB"/>
        </w:rPr>
        <w:t>The relative uncertainty</w:t>
      </w:r>
      <w:r>
        <w:rPr>
          <w:lang w:val="en-GB"/>
        </w:rPr>
        <w:t xml:space="preserve"> in the vacuum mode</w:t>
      </w:r>
      <w:r w:rsidRPr="003C013A">
        <w:rPr>
          <w:i/>
          <w:lang w:val="en-GB"/>
        </w:rPr>
        <w:t xml:space="preserve"> </w:t>
      </w:r>
      <w:r>
        <w:rPr>
          <w:lang w:val="en-GB"/>
        </w:rPr>
        <w:t>for both pressure cylinders is</w:t>
      </w:r>
      <w:r w:rsidRPr="00342250">
        <w:rPr>
          <w:lang w:val="en-GB"/>
        </w:rPr>
        <w:t>:</w:t>
      </w:r>
    </w:p>
    <w:p w:rsidR="00986533" w:rsidRDefault="00986533" w:rsidP="00D34710">
      <w:pPr>
        <w:pStyle w:val="BodyText"/>
      </w:pPr>
    </w:p>
    <w:p w:rsidR="00986533" w:rsidRDefault="00986533" w:rsidP="00D34710">
      <w:pPr>
        <w:pStyle w:val="BodyText"/>
        <w:tabs>
          <w:tab w:val="center" w:pos="2268"/>
          <w:tab w:val="right" w:pos="4536"/>
        </w:tabs>
      </w:pPr>
      <w:r w:rsidRPr="00342250">
        <w:rPr>
          <w:color w:val="FF0000"/>
          <w:position w:val="-34"/>
          <w:lang w:val="en-GB"/>
        </w:rPr>
        <w:object w:dxaOrig="4239" w:dyaOrig="880">
          <v:shape id="_x0000_i1040" type="#_x0000_t75" style="width:212.25pt;height:44.25pt" o:ole="">
            <v:imagedata r:id="rId28" o:title=""/>
          </v:shape>
          <o:OLEObject Type="Embed" ProgID="Equation.3" ShapeID="_x0000_i1040" DrawAspect="Content" ObjectID="_1531292172" r:id="rId29"/>
        </w:object>
      </w:r>
      <w:r>
        <w:tab/>
        <w:t>(7)</w:t>
      </w:r>
    </w:p>
    <w:p w:rsidR="00986533" w:rsidRDefault="00986533" w:rsidP="00AE5A10">
      <w:pPr>
        <w:pStyle w:val="BodyText"/>
      </w:pPr>
    </w:p>
    <w:p w:rsidR="00986533" w:rsidRDefault="00986533" w:rsidP="00AE5A10">
      <w:pPr>
        <w:pStyle w:val="BodyText"/>
      </w:pPr>
      <w:r>
        <w:rPr>
          <w:color w:val="000000"/>
          <w:lang w:val="en-GB"/>
        </w:rPr>
        <w:t>The condition</w:t>
      </w:r>
      <w:r w:rsidRPr="00342250">
        <w:rPr>
          <w:color w:val="000000"/>
          <w:lang w:val="en-GB"/>
        </w:rPr>
        <w:t xml:space="preserve"> </w:t>
      </w:r>
      <w:r w:rsidRPr="00342250">
        <w:rPr>
          <w:i/>
          <w:color w:val="000000"/>
          <w:lang w:val="en-GB"/>
        </w:rPr>
        <w:t>m</w:t>
      </w:r>
      <w:r w:rsidRPr="00342250">
        <w:rPr>
          <w:color w:val="000000"/>
          <w:vertAlign w:val="subscript"/>
          <w:lang w:val="en-GB"/>
        </w:rPr>
        <w:t>d</w:t>
      </w:r>
      <w:r w:rsidRPr="00342250">
        <w:rPr>
          <w:color w:val="000000"/>
          <w:lang w:val="en-GB"/>
        </w:rPr>
        <w:t xml:space="preserve"> </w:t>
      </w:r>
      <w:r w:rsidRPr="00342250">
        <w:rPr>
          <w:color w:val="000000"/>
          <w:position w:val="-4"/>
          <w:lang w:val="en-GB"/>
        </w:rPr>
        <w:object w:dxaOrig="200" w:dyaOrig="240">
          <v:shape id="_x0000_i1041" type="#_x0000_t75" style="width:9.75pt;height:12pt" o:ole="">
            <v:imagedata r:id="rId15" o:title=""/>
          </v:shape>
          <o:OLEObject Type="Embed" ProgID="Equation.3" ShapeID="_x0000_i1041" DrawAspect="Content" ObjectID="_1531292173" r:id="rId30"/>
        </w:object>
      </w:r>
      <w:r w:rsidRPr="00342250">
        <w:rPr>
          <w:color w:val="000000"/>
          <w:lang w:val="en-GB"/>
        </w:rPr>
        <w:t xml:space="preserve"> 7 g </w:t>
      </w:r>
      <w:r>
        <w:rPr>
          <w:color w:val="000000"/>
          <w:lang w:val="en-GB"/>
        </w:rPr>
        <w:t>now gives the maximum uncertainty</w:t>
      </w:r>
      <w:r w:rsidRPr="00342250">
        <w:rPr>
          <w:color w:val="000000"/>
          <w:lang w:val="en-GB"/>
        </w:rPr>
        <w:t xml:space="preserve"> 0.</w:t>
      </w:r>
      <w:r>
        <w:rPr>
          <w:color w:val="000000"/>
          <w:lang w:val="en-GB"/>
        </w:rPr>
        <w:t>08</w:t>
      </w:r>
      <w:r w:rsidRPr="00342250">
        <w:rPr>
          <w:color w:val="000000"/>
          <w:lang w:val="en-GB"/>
        </w:rPr>
        <w:t xml:space="preserve"> % of measured </w:t>
      </w:r>
      <w:r w:rsidRPr="00AE5A10">
        <w:rPr>
          <w:color w:val="000000"/>
          <w:lang w:val="en-GB"/>
        </w:rPr>
        <w:t xml:space="preserve">value for 20000 sccm </w:t>
      </w:r>
      <w:r>
        <w:rPr>
          <w:color w:val="000000"/>
          <w:lang w:val="en-GB"/>
        </w:rPr>
        <w:t>flowrate, but usually much lower</w:t>
      </w:r>
      <w:r w:rsidRPr="00342250">
        <w:rPr>
          <w:color w:val="000000"/>
          <w:lang w:val="en-GB"/>
        </w:rPr>
        <w:t>.</w:t>
      </w:r>
    </w:p>
    <w:p w:rsidR="00986533" w:rsidRDefault="00986533" w:rsidP="00D34710">
      <w:pPr>
        <w:pStyle w:val="BodyText"/>
      </w:pPr>
    </w:p>
    <w:p w:rsidR="00986533" w:rsidRDefault="00986533">
      <w:pPr>
        <w:pStyle w:val="Heading1"/>
      </w:pPr>
      <w:r>
        <w:t>5. Results of the comparison of the GFS in the atmospheric and the vacuum modes</w:t>
      </w:r>
    </w:p>
    <w:p w:rsidR="00986533" w:rsidRDefault="00986533" w:rsidP="00FF2D4B">
      <w:pPr>
        <w:pStyle w:val="BodyText"/>
      </w:pPr>
    </w:p>
    <w:p w:rsidR="00986533" w:rsidRDefault="00986533" w:rsidP="001047D1">
      <w:pPr>
        <w:pStyle w:val="BodyText"/>
        <w:rPr>
          <w:color w:val="000000"/>
        </w:rPr>
      </w:pPr>
      <w:r>
        <w:rPr>
          <w:color w:val="000000"/>
        </w:rPr>
        <w:t>The very satisfactory results of an internal comparison of a performance of the GFS in the atmospheric and vacuum modes is via 500 sccm molbloc transfer standard are shown in Table 1.</w:t>
      </w:r>
    </w:p>
    <w:p w:rsidR="00986533" w:rsidRPr="001047D1" w:rsidRDefault="00986533" w:rsidP="001047D1">
      <w:pPr>
        <w:pStyle w:val="BodyText"/>
        <w:rPr>
          <w:color w:val="000000"/>
        </w:rPr>
      </w:pPr>
    </w:p>
    <w:p w:rsidR="00986533" w:rsidRPr="001047D1" w:rsidRDefault="00986533" w:rsidP="001047D1">
      <w:pPr>
        <w:pStyle w:val="BodyText"/>
        <w:jc w:val="left"/>
        <w:rPr>
          <w:color w:val="000000"/>
          <w:sz w:val="16"/>
        </w:rPr>
      </w:pPr>
      <w:r w:rsidRPr="001047D1">
        <w:rPr>
          <w:b/>
          <w:color w:val="000000"/>
          <w:sz w:val="16"/>
        </w:rPr>
        <w:t xml:space="preserve">Table 1: </w:t>
      </w:r>
      <w:r w:rsidRPr="001047D1">
        <w:rPr>
          <w:color w:val="000000"/>
          <w:sz w:val="16"/>
          <w:szCs w:val="16"/>
        </w:rPr>
        <w:t>The measured difference between vacuum and atmospheric mode in calibration characteristics of the 500 sccm molbloc in % of measured value (MV)</w:t>
      </w:r>
      <w:r w:rsidRPr="001047D1">
        <w:rPr>
          <w:color w:val="000000"/>
          <w:sz w:val="16"/>
        </w:rPr>
        <w:t>.</w:t>
      </w:r>
    </w:p>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4"/>
        <w:gridCol w:w="1474"/>
        <w:gridCol w:w="1475"/>
      </w:tblGrid>
      <w:tr w:rsidR="00986533" w:rsidRPr="001047D1" w:rsidTr="00B7061F">
        <w:trPr>
          <w:cantSplit/>
          <w:trHeight w:val="184"/>
        </w:trPr>
        <w:tc>
          <w:tcPr>
            <w:tcW w:w="1474" w:type="dxa"/>
          </w:tcPr>
          <w:p w:rsidR="00986533" w:rsidRPr="001047D1" w:rsidRDefault="00986533" w:rsidP="00796B0A">
            <w:pPr>
              <w:pStyle w:val="BodyText"/>
              <w:jc w:val="center"/>
              <w:rPr>
                <w:b/>
                <w:color w:val="000000"/>
                <w:sz w:val="16"/>
                <w:szCs w:val="16"/>
              </w:rPr>
            </w:pPr>
            <w:r w:rsidRPr="001047D1">
              <w:rPr>
                <w:b/>
                <w:bCs/>
                <w:color w:val="000000"/>
                <w:sz w:val="16"/>
                <w:szCs w:val="16"/>
                <w:lang w:val="en-GB"/>
              </w:rPr>
              <w:t>Nominal flow – 500</w:t>
            </w:r>
            <w:r w:rsidRPr="001047D1">
              <w:rPr>
                <w:b/>
                <w:color w:val="000000"/>
                <w:sz w:val="16"/>
                <w:szCs w:val="16"/>
                <w:lang w:val="cs-CZ"/>
              </w:rPr>
              <w:t> </w:t>
            </w:r>
            <w:r w:rsidRPr="001047D1">
              <w:rPr>
                <w:b/>
                <w:bCs/>
                <w:color w:val="000000"/>
                <w:sz w:val="16"/>
                <w:szCs w:val="16"/>
                <w:lang w:val="en-GB"/>
              </w:rPr>
              <w:t>sccm molbloc</w:t>
            </w:r>
          </w:p>
        </w:tc>
        <w:tc>
          <w:tcPr>
            <w:tcW w:w="1474" w:type="dxa"/>
          </w:tcPr>
          <w:p w:rsidR="00986533" w:rsidRPr="001047D1" w:rsidRDefault="00986533" w:rsidP="00796B0A">
            <w:pPr>
              <w:pStyle w:val="BodyText"/>
              <w:jc w:val="center"/>
              <w:rPr>
                <w:b/>
                <w:color w:val="000000"/>
                <w:sz w:val="16"/>
                <w:szCs w:val="16"/>
              </w:rPr>
            </w:pPr>
            <w:r w:rsidRPr="001047D1">
              <w:rPr>
                <w:b/>
                <w:bCs/>
                <w:color w:val="000000"/>
                <w:sz w:val="16"/>
                <w:szCs w:val="16"/>
                <w:lang w:val="en-GB"/>
              </w:rPr>
              <w:t xml:space="preserve">Difference in vacuum and atmospheric </w:t>
            </w:r>
            <w:r>
              <w:rPr>
                <w:b/>
                <w:bCs/>
                <w:color w:val="000000"/>
                <w:sz w:val="16"/>
                <w:szCs w:val="16"/>
                <w:lang w:val="en-GB"/>
              </w:rPr>
              <w:t>mode</w:t>
            </w:r>
          </w:p>
        </w:tc>
        <w:tc>
          <w:tcPr>
            <w:tcW w:w="1475" w:type="dxa"/>
          </w:tcPr>
          <w:p w:rsidR="00986533" w:rsidRPr="001047D1" w:rsidRDefault="00986533" w:rsidP="00796B0A">
            <w:pPr>
              <w:pStyle w:val="BodyText"/>
              <w:jc w:val="center"/>
              <w:rPr>
                <w:b/>
                <w:color w:val="000000"/>
                <w:sz w:val="16"/>
                <w:szCs w:val="16"/>
              </w:rPr>
            </w:pPr>
            <w:r w:rsidRPr="001047D1">
              <w:rPr>
                <w:b/>
                <w:bCs/>
                <w:color w:val="000000"/>
                <w:sz w:val="16"/>
                <w:szCs w:val="16"/>
                <w:lang w:val="en-GB"/>
              </w:rPr>
              <w:t>Scatter</w:t>
            </w:r>
          </w:p>
        </w:tc>
      </w:tr>
      <w:tr w:rsidR="00986533" w:rsidRPr="001047D1" w:rsidTr="00B7061F">
        <w:trPr>
          <w:cantSplit/>
          <w:trHeight w:val="184"/>
        </w:trPr>
        <w:tc>
          <w:tcPr>
            <w:tcW w:w="1474" w:type="dxa"/>
          </w:tcPr>
          <w:p w:rsidR="00986533" w:rsidRPr="001047D1" w:rsidRDefault="00986533" w:rsidP="00796B0A">
            <w:pPr>
              <w:pStyle w:val="BodyText"/>
              <w:jc w:val="center"/>
              <w:rPr>
                <w:b/>
                <w:color w:val="000000"/>
                <w:sz w:val="16"/>
                <w:szCs w:val="16"/>
              </w:rPr>
            </w:pPr>
            <w:r w:rsidRPr="001047D1">
              <w:rPr>
                <w:b/>
                <w:bCs/>
                <w:color w:val="000000"/>
                <w:sz w:val="16"/>
                <w:szCs w:val="16"/>
                <w:lang w:val="en-GB"/>
              </w:rPr>
              <w:t>[sccm]</w:t>
            </w:r>
          </w:p>
        </w:tc>
        <w:tc>
          <w:tcPr>
            <w:tcW w:w="1474" w:type="dxa"/>
          </w:tcPr>
          <w:p w:rsidR="00986533" w:rsidRPr="001047D1" w:rsidRDefault="00986533" w:rsidP="00796B0A">
            <w:pPr>
              <w:pStyle w:val="BodyText"/>
              <w:jc w:val="center"/>
              <w:rPr>
                <w:b/>
                <w:color w:val="000000"/>
                <w:sz w:val="16"/>
                <w:szCs w:val="16"/>
              </w:rPr>
            </w:pPr>
            <w:r w:rsidRPr="001047D1">
              <w:rPr>
                <w:b/>
                <w:bCs/>
                <w:color w:val="000000"/>
                <w:sz w:val="16"/>
                <w:szCs w:val="16"/>
                <w:lang w:val="en-GB"/>
              </w:rPr>
              <w:t>[% from MV]</w:t>
            </w:r>
          </w:p>
        </w:tc>
        <w:tc>
          <w:tcPr>
            <w:tcW w:w="1475" w:type="dxa"/>
          </w:tcPr>
          <w:p w:rsidR="00986533" w:rsidRPr="001047D1" w:rsidRDefault="00986533" w:rsidP="00796B0A">
            <w:pPr>
              <w:pStyle w:val="BodyText"/>
              <w:jc w:val="center"/>
              <w:rPr>
                <w:b/>
                <w:color w:val="000000"/>
                <w:sz w:val="16"/>
                <w:szCs w:val="16"/>
              </w:rPr>
            </w:pPr>
            <w:r w:rsidRPr="001047D1">
              <w:rPr>
                <w:b/>
                <w:bCs/>
                <w:color w:val="000000"/>
                <w:sz w:val="16"/>
                <w:szCs w:val="16"/>
                <w:lang w:val="en-GB"/>
              </w:rPr>
              <w:t>[% from MV]</w:t>
            </w:r>
          </w:p>
        </w:tc>
      </w:tr>
      <w:tr w:rsidR="00986533" w:rsidRPr="001047D1" w:rsidTr="00B7061F">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500</w:t>
            </w:r>
          </w:p>
        </w:tc>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0.016</w:t>
            </w:r>
          </w:p>
        </w:tc>
        <w:tc>
          <w:tcPr>
            <w:tcW w:w="1475" w:type="dxa"/>
          </w:tcPr>
          <w:p w:rsidR="00986533" w:rsidRPr="001047D1" w:rsidRDefault="00986533" w:rsidP="00B7061F">
            <w:pPr>
              <w:pStyle w:val="BodyText"/>
              <w:jc w:val="center"/>
              <w:rPr>
                <w:color w:val="000000"/>
                <w:sz w:val="16"/>
                <w:szCs w:val="16"/>
              </w:rPr>
            </w:pPr>
            <w:r w:rsidRPr="001047D1">
              <w:rPr>
                <w:color w:val="000000"/>
                <w:sz w:val="16"/>
                <w:szCs w:val="16"/>
              </w:rPr>
              <w:t>0.008</w:t>
            </w:r>
          </w:p>
        </w:tc>
      </w:tr>
      <w:tr w:rsidR="00986533" w:rsidRPr="001047D1" w:rsidTr="00B7061F">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400</w:t>
            </w:r>
          </w:p>
        </w:tc>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-0.017</w:t>
            </w:r>
          </w:p>
        </w:tc>
        <w:tc>
          <w:tcPr>
            <w:tcW w:w="1475" w:type="dxa"/>
          </w:tcPr>
          <w:p w:rsidR="00986533" w:rsidRPr="001047D1" w:rsidRDefault="00986533" w:rsidP="00B7061F">
            <w:pPr>
              <w:pStyle w:val="BodyText"/>
              <w:jc w:val="center"/>
              <w:rPr>
                <w:color w:val="000000"/>
                <w:sz w:val="16"/>
                <w:szCs w:val="16"/>
              </w:rPr>
            </w:pPr>
            <w:r w:rsidRPr="001047D1">
              <w:rPr>
                <w:color w:val="000000"/>
                <w:sz w:val="16"/>
                <w:szCs w:val="16"/>
              </w:rPr>
              <w:t>0.006</w:t>
            </w:r>
          </w:p>
        </w:tc>
      </w:tr>
      <w:tr w:rsidR="00986533" w:rsidRPr="001047D1" w:rsidTr="00B7061F">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300</w:t>
            </w:r>
          </w:p>
        </w:tc>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-0.026</w:t>
            </w:r>
          </w:p>
        </w:tc>
        <w:tc>
          <w:tcPr>
            <w:tcW w:w="1475" w:type="dxa"/>
          </w:tcPr>
          <w:p w:rsidR="00986533" w:rsidRPr="001047D1" w:rsidRDefault="00986533" w:rsidP="00B7061F">
            <w:pPr>
              <w:pStyle w:val="BodyText"/>
              <w:jc w:val="center"/>
              <w:rPr>
                <w:color w:val="000000"/>
                <w:sz w:val="16"/>
                <w:szCs w:val="16"/>
              </w:rPr>
            </w:pPr>
            <w:r w:rsidRPr="001047D1">
              <w:rPr>
                <w:color w:val="000000"/>
                <w:sz w:val="16"/>
                <w:szCs w:val="16"/>
              </w:rPr>
              <w:t>0.002</w:t>
            </w:r>
          </w:p>
        </w:tc>
      </w:tr>
      <w:tr w:rsidR="00986533" w:rsidRPr="001047D1" w:rsidTr="00B7061F">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200</w:t>
            </w:r>
          </w:p>
        </w:tc>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-0.027</w:t>
            </w:r>
          </w:p>
        </w:tc>
        <w:tc>
          <w:tcPr>
            <w:tcW w:w="1475" w:type="dxa"/>
          </w:tcPr>
          <w:p w:rsidR="00986533" w:rsidRPr="001047D1" w:rsidRDefault="00986533" w:rsidP="00B7061F">
            <w:pPr>
              <w:pStyle w:val="BodyText"/>
              <w:jc w:val="center"/>
              <w:rPr>
                <w:color w:val="000000"/>
                <w:sz w:val="16"/>
                <w:szCs w:val="16"/>
              </w:rPr>
            </w:pPr>
            <w:r w:rsidRPr="001047D1">
              <w:rPr>
                <w:color w:val="000000"/>
                <w:sz w:val="16"/>
                <w:szCs w:val="16"/>
              </w:rPr>
              <w:t>0.002</w:t>
            </w:r>
          </w:p>
        </w:tc>
      </w:tr>
      <w:tr w:rsidR="00986533" w:rsidRPr="001047D1" w:rsidTr="00B7061F">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100</w:t>
            </w:r>
          </w:p>
        </w:tc>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-0.025</w:t>
            </w:r>
          </w:p>
        </w:tc>
        <w:tc>
          <w:tcPr>
            <w:tcW w:w="1475" w:type="dxa"/>
          </w:tcPr>
          <w:p w:rsidR="00986533" w:rsidRPr="001047D1" w:rsidRDefault="00986533" w:rsidP="00B7061F">
            <w:pPr>
              <w:pStyle w:val="BodyText"/>
              <w:jc w:val="center"/>
              <w:rPr>
                <w:color w:val="000000"/>
                <w:sz w:val="16"/>
                <w:szCs w:val="16"/>
              </w:rPr>
            </w:pPr>
            <w:r w:rsidRPr="001047D1">
              <w:rPr>
                <w:color w:val="000000"/>
                <w:sz w:val="16"/>
                <w:szCs w:val="16"/>
              </w:rPr>
              <w:t>0.009</w:t>
            </w:r>
          </w:p>
        </w:tc>
      </w:tr>
      <w:tr w:rsidR="00986533" w:rsidRPr="001047D1" w:rsidTr="00B7061F">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50</w:t>
            </w:r>
          </w:p>
        </w:tc>
        <w:tc>
          <w:tcPr>
            <w:tcW w:w="1474" w:type="dxa"/>
          </w:tcPr>
          <w:p w:rsidR="00986533" w:rsidRPr="001047D1" w:rsidRDefault="00986533" w:rsidP="00B7061F">
            <w:pPr>
              <w:pStyle w:val="BodyText"/>
              <w:jc w:val="center"/>
              <w:rPr>
                <w:color w:val="000000"/>
                <w:sz w:val="16"/>
                <w:szCs w:val="16"/>
              </w:rPr>
            </w:pPr>
            <w:r w:rsidRPr="001047D1">
              <w:rPr>
                <w:color w:val="000000"/>
                <w:sz w:val="16"/>
                <w:szCs w:val="16"/>
              </w:rPr>
              <w:t>0.012</w:t>
            </w:r>
          </w:p>
        </w:tc>
        <w:tc>
          <w:tcPr>
            <w:tcW w:w="1475" w:type="dxa"/>
          </w:tcPr>
          <w:p w:rsidR="00986533" w:rsidRPr="001047D1" w:rsidRDefault="00986533" w:rsidP="00B7061F">
            <w:pPr>
              <w:pStyle w:val="BodyText"/>
              <w:jc w:val="center"/>
              <w:rPr>
                <w:color w:val="000000"/>
                <w:sz w:val="16"/>
                <w:szCs w:val="16"/>
              </w:rPr>
            </w:pPr>
            <w:r w:rsidRPr="001047D1">
              <w:rPr>
                <w:color w:val="000000"/>
                <w:sz w:val="16"/>
                <w:szCs w:val="16"/>
              </w:rPr>
              <w:t>0.009</w:t>
            </w:r>
          </w:p>
        </w:tc>
      </w:tr>
    </w:tbl>
    <w:p w:rsidR="00986533" w:rsidRDefault="00986533">
      <w:pPr>
        <w:pStyle w:val="BodyText"/>
      </w:pPr>
    </w:p>
    <w:p w:rsidR="00986533" w:rsidRPr="00681D03" w:rsidRDefault="00986533">
      <w:pPr>
        <w:pStyle w:val="BodyText"/>
        <w:rPr>
          <w:color w:val="000000"/>
        </w:rPr>
      </w:pPr>
      <w:r w:rsidRPr="00342250">
        <w:rPr>
          <w:lang w:val="en-GB"/>
        </w:rPr>
        <w:t xml:space="preserve">Recently, the 0.05 % </w:t>
      </w:r>
      <w:r w:rsidRPr="00681D03">
        <w:rPr>
          <w:color w:val="000000"/>
          <w:lang w:val="en-GB"/>
        </w:rPr>
        <w:t xml:space="preserve">uncertainty claimed for the operation in the vacuum mode was confirmed by a comparison with LEI (Lithuania), LNE (France), MIKES (Finland) and PTB (Germany) within </w:t>
      </w:r>
      <w:r w:rsidRPr="00681D03">
        <w:rPr>
          <w:color w:val="000000"/>
        </w:rPr>
        <w:t>EURAMET Project 1325</w:t>
      </w:r>
      <w:r w:rsidRPr="00681D03">
        <w:rPr>
          <w:color w:val="000000"/>
          <w:lang w:val="en-GB"/>
        </w:rPr>
        <w:t xml:space="preserve"> [12] in the range from 5 to 20000 sccm.</w:t>
      </w:r>
    </w:p>
    <w:p w:rsidR="00986533" w:rsidRDefault="00986533" w:rsidP="00796B0A">
      <w:pPr>
        <w:pStyle w:val="BodyText"/>
      </w:pPr>
    </w:p>
    <w:p w:rsidR="00986533" w:rsidRDefault="00986533" w:rsidP="00796B0A">
      <w:pPr>
        <w:pStyle w:val="Heading1"/>
      </w:pPr>
      <w:r>
        <w:t>6. Other utilizations</w:t>
      </w:r>
    </w:p>
    <w:p w:rsidR="00986533" w:rsidRDefault="00986533" w:rsidP="00796B0A">
      <w:pPr>
        <w:pStyle w:val="BodyText"/>
      </w:pPr>
    </w:p>
    <w:p w:rsidR="00986533" w:rsidRDefault="00986533" w:rsidP="00796B0A">
      <w:pPr>
        <w:pStyle w:val="BodyText"/>
        <w:rPr>
          <w:color w:val="000000"/>
        </w:rPr>
      </w:pPr>
      <w:r>
        <w:rPr>
          <w:color w:val="000000"/>
        </w:rPr>
        <w:t>The CMI plans that this experimental set-up will constitute a traceability hub not only for the low gas flows, but also for the leak artefacts and the production of the precise gas mixtures.</w:t>
      </w:r>
    </w:p>
    <w:p w:rsidR="00986533" w:rsidRDefault="00986533" w:rsidP="00796B0A">
      <w:pPr>
        <w:pStyle w:val="BodyText"/>
        <w:rPr>
          <w:color w:val="000000"/>
        </w:rPr>
      </w:pPr>
    </w:p>
    <w:p w:rsidR="00986533" w:rsidRPr="00F87817" w:rsidRDefault="00986533" w:rsidP="00796B0A">
      <w:pPr>
        <w:pStyle w:val="BodyText"/>
        <w:rPr>
          <w:color w:val="000000"/>
        </w:rPr>
      </w:pPr>
      <w:r>
        <w:rPr>
          <w:color w:val="000000"/>
        </w:rPr>
        <w:t xml:space="preserve">As for the leaks, we aim only to the atmospheric leaks, because the vacuum ones are usually of much lower flow rates than can be measured by this system. However, it seems to be promising for the atmospheric Freon leaks. </w:t>
      </w:r>
      <w:r w:rsidRPr="00342250">
        <w:rPr>
          <w:color w:val="000000"/>
        </w:rPr>
        <w:t xml:space="preserve">If we compare the initial atmospheric weighing with the work in </w:t>
      </w:r>
      <w:r>
        <w:rPr>
          <w:color w:val="000000"/>
        </w:rPr>
        <w:t xml:space="preserve">the </w:t>
      </w:r>
      <w:r w:rsidRPr="00342250">
        <w:rPr>
          <w:color w:val="000000"/>
        </w:rPr>
        <w:t xml:space="preserve">special closable box, the solution is beneficial </w:t>
      </w:r>
      <w:r>
        <w:rPr>
          <w:color w:val="000000"/>
        </w:rPr>
        <w:t>main</w:t>
      </w:r>
      <w:r w:rsidRPr="00342250">
        <w:rPr>
          <w:color w:val="000000"/>
        </w:rPr>
        <w:t>ly for the secondary standard freon leaks of large values, which usually have a bulky structure, see Fig</w:t>
      </w:r>
      <w:r>
        <w:rPr>
          <w:color w:val="000000"/>
        </w:rPr>
        <w:t>ure</w:t>
      </w:r>
      <w:r w:rsidRPr="00342250">
        <w:rPr>
          <w:color w:val="000000"/>
        </w:rPr>
        <w:t xml:space="preserve"> </w:t>
      </w:r>
      <w:r>
        <w:rPr>
          <w:color w:val="000000"/>
          <w:lang w:val="cs-CZ"/>
        </w:rPr>
        <w:t>6</w:t>
      </w:r>
      <w:r w:rsidRPr="00342250">
        <w:rPr>
          <w:color w:val="000000"/>
        </w:rPr>
        <w:t xml:space="preserve">. However, it is </w:t>
      </w:r>
      <w:r w:rsidRPr="00F87817">
        <w:rPr>
          <w:color w:val="000000"/>
        </w:rPr>
        <w:t>necessary to realize that this solution was intended especially for them, since there exists a better solution for small and compact ones (</w:t>
      </w:r>
      <w:r>
        <w:rPr>
          <w:color w:val="000000"/>
        </w:rPr>
        <w:t xml:space="preserve">a </w:t>
      </w:r>
      <w:r w:rsidRPr="00F87817">
        <w:rPr>
          <w:color w:val="000000"/>
        </w:rPr>
        <w:t xml:space="preserve">Mettler Toledo </w:t>
      </w:r>
      <w:r>
        <w:rPr>
          <w:color w:val="000000"/>
        </w:rPr>
        <w:t xml:space="preserve">mass </w:t>
      </w:r>
      <w:r w:rsidRPr="00F87817">
        <w:rPr>
          <w:color w:val="000000"/>
        </w:rPr>
        <w:t>comparator</w:t>
      </w:r>
      <w:r>
        <w:rPr>
          <w:color w:val="000000"/>
        </w:rPr>
        <w:t xml:space="preserve">, see </w:t>
      </w:r>
      <w:r w:rsidRPr="00F87817">
        <w:rPr>
          <w:color w:val="000000"/>
        </w:rPr>
        <w:t>[10,11]).</w:t>
      </w:r>
    </w:p>
    <w:p w:rsidR="00986533" w:rsidRDefault="00986533" w:rsidP="00796B0A">
      <w:pPr>
        <w:pStyle w:val="BodyText"/>
      </w:pPr>
    </w:p>
    <w:p w:rsidR="00986533" w:rsidRDefault="00986533" w:rsidP="00796B0A">
      <w:pPr>
        <w:pStyle w:val="Heading1"/>
      </w:pPr>
      <w:r w:rsidRPr="001874E3">
        <w:rPr>
          <w:noProof/>
          <w:color w:val="000000"/>
          <w:lang w:val="cs-CZ" w:eastAsia="cs-CZ"/>
        </w:rPr>
        <w:pict>
          <v:shape id="obrázek 10" o:spid="_x0000_i1042" type="#_x0000_t75" style="width:226.5pt;height:169.5pt;visibility:visible">
            <v:imagedata r:id="rId31" o:title=""/>
          </v:shape>
        </w:pict>
      </w:r>
    </w:p>
    <w:p w:rsidR="00986533" w:rsidRDefault="00986533" w:rsidP="00796B0A">
      <w:pPr>
        <w:pStyle w:val="Heading1"/>
        <w:rPr>
          <w:sz w:val="16"/>
        </w:rPr>
      </w:pPr>
    </w:p>
    <w:p w:rsidR="00986533" w:rsidRPr="009578E8" w:rsidRDefault="00986533" w:rsidP="00796B0A">
      <w:pPr>
        <w:pStyle w:val="Heading1"/>
        <w:rPr>
          <w:b w:val="0"/>
          <w:sz w:val="16"/>
        </w:rPr>
      </w:pPr>
      <w:r w:rsidRPr="00A12E51">
        <w:rPr>
          <w:sz w:val="16"/>
        </w:rPr>
        <w:t xml:space="preserve">Figure </w:t>
      </w:r>
      <w:r>
        <w:rPr>
          <w:sz w:val="16"/>
        </w:rPr>
        <w:t>6</w:t>
      </w:r>
      <w:r w:rsidRPr="00A12E51">
        <w:rPr>
          <w:sz w:val="16"/>
        </w:rPr>
        <w:t>:</w:t>
      </w:r>
      <w:r w:rsidRPr="009629A5">
        <w:rPr>
          <w:b w:val="0"/>
        </w:rPr>
        <w:t xml:space="preserve"> </w:t>
      </w:r>
      <w:r w:rsidRPr="00371A94">
        <w:rPr>
          <w:b w:val="0"/>
          <w:color w:val="000000"/>
          <w:sz w:val="16"/>
          <w:szCs w:val="16"/>
          <w:lang w:val="en-GB"/>
        </w:rPr>
        <w:t>Standard freon leak in a hermetic box with a camera for reading pressure of freon</w:t>
      </w:r>
      <w:r w:rsidRPr="009578E8">
        <w:rPr>
          <w:b w:val="0"/>
          <w:sz w:val="16"/>
        </w:rPr>
        <w:t>.</w:t>
      </w:r>
    </w:p>
    <w:p w:rsidR="00986533" w:rsidRDefault="00986533" w:rsidP="00796B0A">
      <w:pPr>
        <w:pStyle w:val="BodyText"/>
      </w:pPr>
    </w:p>
    <w:p w:rsidR="00986533" w:rsidRDefault="00986533">
      <w:pPr>
        <w:pStyle w:val="BodyText"/>
      </w:pPr>
      <w:r>
        <w:t>Last, but not least, the GFS system in this set-up also ensures the traceability of the mass flow controllers serving in our gas diluting system with the dilution ratio up to 1 : 17500, see Figure 7</w:t>
      </w:r>
      <w:bookmarkStart w:id="0" w:name="_GoBack"/>
      <w:bookmarkEnd w:id="0"/>
      <w:r>
        <w:t>.</w:t>
      </w:r>
    </w:p>
    <w:p w:rsidR="00986533" w:rsidRDefault="00986533" w:rsidP="00B03E48">
      <w:pPr>
        <w:pStyle w:val="BodyText"/>
      </w:pPr>
    </w:p>
    <w:p w:rsidR="00986533" w:rsidRDefault="00986533" w:rsidP="00B03E48">
      <w:pPr>
        <w:pStyle w:val="BodyText"/>
      </w:pPr>
      <w:r w:rsidRPr="001874E3">
        <w:rPr>
          <w:rFonts w:ascii="Calibri" w:hAnsi="Calibri"/>
          <w:noProof/>
          <w:lang w:val="cs-CZ" w:eastAsia="cs-CZ"/>
        </w:rPr>
        <w:pict>
          <v:shape id="Obrázek 4" o:spid="_x0000_i1043" type="#_x0000_t75" style="width:226.5pt;height:127.5pt;visibility:visible">
            <v:imagedata r:id="rId32" o:title=""/>
          </v:shape>
        </w:pict>
      </w:r>
    </w:p>
    <w:p w:rsidR="00986533" w:rsidRDefault="00986533" w:rsidP="00B03E48">
      <w:pPr>
        <w:pStyle w:val="Heading1"/>
      </w:pPr>
    </w:p>
    <w:p w:rsidR="00986533" w:rsidRPr="009578E8" w:rsidRDefault="00986533" w:rsidP="00B03E48">
      <w:pPr>
        <w:pStyle w:val="Heading1"/>
        <w:rPr>
          <w:b w:val="0"/>
          <w:sz w:val="16"/>
        </w:rPr>
      </w:pPr>
      <w:r w:rsidRPr="00A12E51">
        <w:rPr>
          <w:sz w:val="16"/>
        </w:rPr>
        <w:t xml:space="preserve">Figure </w:t>
      </w:r>
      <w:r>
        <w:rPr>
          <w:sz w:val="16"/>
        </w:rPr>
        <w:t>7</w:t>
      </w:r>
      <w:r w:rsidRPr="00A12E51">
        <w:rPr>
          <w:sz w:val="16"/>
        </w:rPr>
        <w:t>:</w:t>
      </w:r>
      <w:r w:rsidRPr="009629A5">
        <w:rPr>
          <w:b w:val="0"/>
        </w:rPr>
        <w:t xml:space="preserve"> </w:t>
      </w:r>
      <w:r>
        <w:rPr>
          <w:b w:val="0"/>
          <w:color w:val="000000"/>
          <w:sz w:val="16"/>
          <w:szCs w:val="16"/>
          <w:lang w:val="en-GB"/>
        </w:rPr>
        <w:t>Gas diluting system of the CMI</w:t>
      </w:r>
      <w:r w:rsidRPr="009578E8">
        <w:rPr>
          <w:b w:val="0"/>
          <w:sz w:val="16"/>
        </w:rPr>
        <w:t>.</w:t>
      </w:r>
    </w:p>
    <w:p w:rsidR="00986533" w:rsidRDefault="00986533" w:rsidP="00B03E48">
      <w:pPr>
        <w:pStyle w:val="BodyText"/>
      </w:pPr>
    </w:p>
    <w:p w:rsidR="00986533" w:rsidRDefault="00986533">
      <w:pPr>
        <w:pStyle w:val="Heading1"/>
      </w:pPr>
      <w:r>
        <w:t>7. Conclusion</w:t>
      </w:r>
    </w:p>
    <w:p w:rsidR="00986533" w:rsidRDefault="00986533">
      <w:pPr>
        <w:pStyle w:val="BodyText"/>
      </w:pPr>
    </w:p>
    <w:p w:rsidR="00986533" w:rsidRPr="00073F3E" w:rsidRDefault="00986533">
      <w:pPr>
        <w:pStyle w:val="BodyText"/>
      </w:pPr>
      <w:r w:rsidRPr="00342250">
        <w:rPr>
          <w:bCs/>
          <w:lang w:val="en-GB"/>
        </w:rPr>
        <w:t>Modification of the GFS using weighing improved the resultant expanded (</w:t>
      </w:r>
      <w:r w:rsidRPr="00342250">
        <w:rPr>
          <w:bCs/>
          <w:i/>
          <w:lang w:val="en-GB"/>
        </w:rPr>
        <w:t>k</w:t>
      </w:r>
      <w:r w:rsidRPr="00342250">
        <w:rPr>
          <w:bCs/>
          <w:lang w:val="en-GB"/>
        </w:rPr>
        <w:t xml:space="preserve"> = 2) uncertainty of the national standard of low gas flow from </w:t>
      </w:r>
      <w:r w:rsidRPr="00342250">
        <w:rPr>
          <w:lang w:val="en-GB"/>
        </w:rPr>
        <w:t xml:space="preserve">0.1 % </w:t>
      </w:r>
      <w:r w:rsidRPr="00681D03">
        <w:rPr>
          <w:color w:val="000000"/>
          <w:lang w:val="en-GB"/>
        </w:rPr>
        <w:t>to cca 0.05 %</w:t>
      </w:r>
      <w:r w:rsidRPr="00681D03">
        <w:rPr>
          <w:bCs/>
          <w:color w:val="000000"/>
          <w:lang w:val="en-GB"/>
        </w:rPr>
        <w:t xml:space="preserve"> </w:t>
      </w:r>
      <w:r w:rsidRPr="00681D03">
        <w:rPr>
          <w:color w:val="000000"/>
          <w:lang w:val="en-GB"/>
        </w:rPr>
        <w:t xml:space="preserve">due to supressing of all effects of uncertainty depending on the density of cylinder and the uncertainty of density of the ambient air. Also, the condensation of water on the </w:t>
      </w:r>
      <w:r w:rsidRPr="00342250">
        <w:rPr>
          <w:lang w:val="en-GB"/>
        </w:rPr>
        <w:t>cylinder is quite impossible now even when temperature of the pressure bottle drops below the dew point at the higher flow rates</w:t>
      </w:r>
      <w:r>
        <w:t>.</w:t>
      </w:r>
      <w:r w:rsidRPr="00073F3E">
        <w:t xml:space="preserve"> Measurement accuracy was confirmed in international comparison Euramet.</w:t>
      </w:r>
    </w:p>
    <w:p w:rsidR="00986533" w:rsidRDefault="00986533">
      <w:pPr>
        <w:pStyle w:val="BodyText"/>
      </w:pPr>
    </w:p>
    <w:p w:rsidR="00986533" w:rsidRDefault="00986533">
      <w:pPr>
        <w:pStyle w:val="Heading1"/>
      </w:pPr>
      <w:r>
        <w:t>References</w:t>
      </w:r>
    </w:p>
    <w:p w:rsidR="00986533" w:rsidRDefault="00986533">
      <w:pPr>
        <w:pStyle w:val="BodyText"/>
      </w:pPr>
    </w:p>
    <w:p w:rsidR="00986533" w:rsidRDefault="00986533" w:rsidP="00B21BA8">
      <w:pPr>
        <w:pStyle w:val="BodyText"/>
        <w:numPr>
          <w:ilvl w:val="0"/>
          <w:numId w:val="5"/>
        </w:numPr>
        <w:ind w:left="426" w:hanging="426"/>
      </w:pPr>
      <w:r w:rsidRPr="00342250">
        <w:rPr>
          <w:color w:val="000000"/>
          <w:lang w:val="cs-CZ" w:eastAsia="cs-CZ"/>
        </w:rPr>
        <w:t>Krajíček Z, Pražák D, Vičar M, Tesař J</w:t>
      </w:r>
      <w:r>
        <w:rPr>
          <w:color w:val="000000"/>
          <w:lang w:val="cs-CZ" w:eastAsia="cs-CZ"/>
        </w:rPr>
        <w:t>,</w:t>
      </w:r>
      <w:r w:rsidRPr="00342250">
        <w:rPr>
          <w:color w:val="000000"/>
          <w:lang w:val="cs-CZ" w:eastAsia="cs-CZ"/>
        </w:rPr>
        <w:t xml:space="preserve"> Staněk F</w:t>
      </w:r>
      <w:r>
        <w:t>, “</w:t>
      </w:r>
      <w:r w:rsidRPr="00342250">
        <w:rPr>
          <w:color w:val="000000"/>
          <w:lang w:val="cs-CZ" w:eastAsia="cs-CZ"/>
        </w:rPr>
        <w:t>Zajištění metrologie malého průtoku plynů – nový státní etalon dynamické gravitometrie – GFS</w:t>
      </w:r>
      <w:r>
        <w:t xml:space="preserve">”, </w:t>
      </w:r>
      <w:r>
        <w:rPr>
          <w:i/>
        </w:rPr>
        <w:t>Metrologie</w:t>
      </w:r>
      <w:r>
        <w:t xml:space="preserve">, </w:t>
      </w:r>
      <w:r>
        <w:rPr>
          <w:b/>
        </w:rPr>
        <w:t>19</w:t>
      </w:r>
      <w:r>
        <w:t xml:space="preserve">, </w:t>
      </w:r>
      <w:r w:rsidRPr="00342250">
        <w:rPr>
          <w:color w:val="000000"/>
          <w:lang w:val="cs-CZ" w:eastAsia="cs-CZ"/>
        </w:rPr>
        <w:t>18–23</w:t>
      </w:r>
      <w:r>
        <w:t>, 2011.</w:t>
      </w:r>
      <w:r w:rsidRPr="00C0792D">
        <w:rPr>
          <w:color w:val="000000"/>
          <w:lang w:val="cs-CZ" w:eastAsia="cs-CZ"/>
        </w:rPr>
        <w:t xml:space="preserve"> </w:t>
      </w:r>
      <w:r w:rsidRPr="00342250">
        <w:rPr>
          <w:color w:val="000000"/>
          <w:lang w:val="cs-CZ" w:eastAsia="cs-CZ"/>
        </w:rPr>
        <w:t>(</w:t>
      </w:r>
      <w:r w:rsidRPr="00342250">
        <w:rPr>
          <w:i/>
          <w:color w:val="000000"/>
          <w:lang w:val="cs-CZ" w:eastAsia="cs-CZ"/>
        </w:rPr>
        <w:t>in Czech</w:t>
      </w:r>
      <w:r w:rsidRPr="00342250">
        <w:rPr>
          <w:color w:val="000000"/>
          <w:lang w:val="cs-CZ" w:eastAsia="cs-CZ"/>
        </w:rPr>
        <w:t>)</w:t>
      </w:r>
    </w:p>
    <w:p w:rsidR="00986533" w:rsidRDefault="00986533" w:rsidP="00637134">
      <w:pPr>
        <w:pStyle w:val="BodyText"/>
        <w:numPr>
          <w:ilvl w:val="0"/>
          <w:numId w:val="5"/>
        </w:numPr>
        <w:ind w:left="426" w:hanging="426"/>
      </w:pPr>
      <w:r w:rsidRPr="00342250">
        <w:rPr>
          <w:color w:val="000000"/>
          <w:lang w:val="en-GB"/>
        </w:rPr>
        <w:t>Bair M</w:t>
      </w:r>
      <w:r>
        <w:rPr>
          <w:color w:val="000000"/>
          <w:lang w:val="en-GB"/>
        </w:rPr>
        <w:t>,</w:t>
      </w:r>
      <w:r w:rsidRPr="00342250">
        <w:rPr>
          <w:color w:val="000000"/>
          <w:lang w:val="en-GB"/>
        </w:rPr>
        <w:t xml:space="preserve"> Rombouts C</w:t>
      </w:r>
      <w:r>
        <w:t xml:space="preserve">, </w:t>
      </w:r>
      <w:r w:rsidRPr="00637134">
        <w:rPr>
          <w:color w:val="000000"/>
          <w:lang w:val="en-GB"/>
        </w:rPr>
        <w:t>Technical Note 6050TN09</w:t>
      </w:r>
      <w:r>
        <w:t xml:space="preserve">, </w:t>
      </w:r>
      <w:r w:rsidRPr="00B21BA8">
        <w:t>http://</w:t>
      </w:r>
      <w:r w:rsidRPr="00342250">
        <w:rPr>
          <w:color w:val="000000"/>
          <w:shd w:val="clear" w:color="auto" w:fill="FFFFFF"/>
        </w:rPr>
        <w:t>download.flukecal.com/pub/literature/</w:t>
      </w:r>
      <w:r w:rsidRPr="00342250">
        <w:rPr>
          <w:bCs/>
          <w:color w:val="000000"/>
          <w:shd w:val="clear" w:color="auto" w:fill="FFFFFF"/>
        </w:rPr>
        <w:t>6050TN09</w:t>
      </w:r>
      <w:r w:rsidRPr="00342250">
        <w:rPr>
          <w:color w:val="000000"/>
          <w:shd w:val="clear" w:color="auto" w:fill="FFFFFF"/>
        </w:rPr>
        <w:t>.pdf</w:t>
      </w:r>
    </w:p>
    <w:p w:rsidR="00986533" w:rsidRDefault="00986533" w:rsidP="00B21BA8">
      <w:pPr>
        <w:pStyle w:val="BodyText"/>
        <w:numPr>
          <w:ilvl w:val="0"/>
          <w:numId w:val="5"/>
        </w:numPr>
        <w:ind w:left="426" w:hanging="426"/>
      </w:pPr>
      <w:r w:rsidRPr="00342250">
        <w:rPr>
          <w:color w:val="000000"/>
          <w:lang w:val="cs-CZ" w:eastAsia="cs-CZ"/>
        </w:rPr>
        <w:t>Krajíček Z, Pražák D, Hajduk T</w:t>
      </w:r>
      <w:r>
        <w:rPr>
          <w:color w:val="000000"/>
          <w:lang w:val="cs-CZ" w:eastAsia="cs-CZ"/>
        </w:rPr>
        <w:t>,</w:t>
      </w:r>
      <w:r w:rsidRPr="00342250">
        <w:rPr>
          <w:color w:val="000000"/>
          <w:lang w:val="cs-CZ" w:eastAsia="cs-CZ"/>
        </w:rPr>
        <w:t xml:space="preserve"> Tesař J</w:t>
      </w:r>
      <w:r>
        <w:rPr>
          <w:color w:val="000000"/>
          <w:lang w:val="cs-CZ" w:eastAsia="cs-CZ"/>
        </w:rPr>
        <w:t>,</w:t>
      </w:r>
      <w:r w:rsidRPr="00342250">
        <w:rPr>
          <w:color w:val="000000"/>
          <w:lang w:val="cs-CZ" w:eastAsia="cs-CZ"/>
        </w:rPr>
        <w:t xml:space="preserve"> </w:t>
      </w:r>
      <w:r>
        <w:t>“</w:t>
      </w:r>
      <w:r w:rsidRPr="00342250">
        <w:rPr>
          <w:color w:val="000000"/>
          <w:lang w:val="cs-CZ" w:eastAsia="cs-CZ"/>
        </w:rPr>
        <w:t>Experiences with traceability of molbloc flowmeters to primary gravimetric mass flow standard</w:t>
      </w:r>
      <w:r>
        <w:t xml:space="preserve">”, </w:t>
      </w:r>
      <w:r w:rsidRPr="00342250">
        <w:rPr>
          <w:i/>
          <w:iCs/>
          <w:color w:val="000000"/>
          <w:lang w:val="cs-CZ" w:eastAsia="cs-CZ"/>
        </w:rPr>
        <w:t>Metrologie</w:t>
      </w:r>
      <w:r>
        <w:t xml:space="preserve">, </w:t>
      </w:r>
      <w:r>
        <w:rPr>
          <w:b/>
        </w:rPr>
        <w:t>56</w:t>
      </w:r>
      <w:r>
        <w:t xml:space="preserve">, </w:t>
      </w:r>
      <w:r w:rsidRPr="00342250">
        <w:rPr>
          <w:color w:val="000000"/>
          <w:lang w:val="cs-CZ" w:eastAsia="cs-CZ"/>
        </w:rPr>
        <w:t>38</w:t>
      </w:r>
      <w:r w:rsidRPr="00342250">
        <w:rPr>
          <w:color w:val="000000"/>
          <w:lang w:val="en-GB"/>
        </w:rPr>
        <w:t>–</w:t>
      </w:r>
      <w:r w:rsidRPr="00342250">
        <w:rPr>
          <w:color w:val="000000"/>
          <w:lang w:val="cs-CZ" w:eastAsia="cs-CZ"/>
        </w:rPr>
        <w:t>43</w:t>
      </w:r>
      <w:r>
        <w:t xml:space="preserve">, </w:t>
      </w:r>
      <w:r w:rsidRPr="00342250">
        <w:rPr>
          <w:color w:val="000000"/>
          <w:lang w:val="cs-CZ" w:eastAsia="cs-CZ"/>
        </w:rPr>
        <w:t>2009</w:t>
      </w:r>
      <w:r>
        <w:t>.</w:t>
      </w:r>
    </w:p>
    <w:p w:rsidR="00986533" w:rsidRDefault="00986533" w:rsidP="00B21BA8">
      <w:pPr>
        <w:pStyle w:val="BodyText"/>
        <w:numPr>
          <w:ilvl w:val="0"/>
          <w:numId w:val="5"/>
        </w:numPr>
        <w:ind w:left="426" w:hanging="426"/>
      </w:pPr>
      <w:r w:rsidRPr="00342250">
        <w:rPr>
          <w:color w:val="000000"/>
          <w:lang w:val="en-GB"/>
        </w:rPr>
        <w:t>Bair M</w:t>
      </w:r>
      <w:r>
        <w:rPr>
          <w:color w:val="000000"/>
          <w:lang w:val="en-GB"/>
        </w:rPr>
        <w:t>,</w:t>
      </w:r>
      <w:r w:rsidRPr="00342250">
        <w:rPr>
          <w:color w:val="000000"/>
          <w:lang w:val="en-GB"/>
        </w:rPr>
        <w:t xml:space="preserve"> </w:t>
      </w:r>
      <w:r w:rsidRPr="00637134">
        <w:rPr>
          <w:color w:val="000000"/>
          <w:lang w:val="en-GB"/>
        </w:rPr>
        <w:t>Technical Note 2011TN06B</w:t>
      </w:r>
      <w:r>
        <w:t xml:space="preserve">, </w:t>
      </w:r>
      <w:r w:rsidRPr="00B21BA8">
        <w:t>http://</w:t>
      </w:r>
      <w:r w:rsidRPr="00342250">
        <w:rPr>
          <w:color w:val="000000"/>
          <w:shd w:val="clear" w:color="auto" w:fill="FFFFFF"/>
        </w:rPr>
        <w:t>download.flukecal.com/pub/literature/</w:t>
      </w:r>
      <w:r w:rsidRPr="00342250">
        <w:rPr>
          <w:bCs/>
          <w:color w:val="000000"/>
          <w:shd w:val="clear" w:color="auto" w:fill="FFFFFF"/>
        </w:rPr>
        <w:t>2011TN6B</w:t>
      </w:r>
      <w:r w:rsidRPr="00342250">
        <w:rPr>
          <w:color w:val="000000"/>
          <w:shd w:val="clear" w:color="auto" w:fill="FFFFFF"/>
        </w:rPr>
        <w:t>.pdf</w:t>
      </w:r>
    </w:p>
    <w:p w:rsidR="00986533" w:rsidRPr="003B049B" w:rsidRDefault="00986533" w:rsidP="00B21BA8">
      <w:pPr>
        <w:pStyle w:val="BodyText"/>
        <w:numPr>
          <w:ilvl w:val="0"/>
          <w:numId w:val="5"/>
        </w:numPr>
        <w:ind w:left="426" w:hanging="426"/>
      </w:pPr>
      <w:r w:rsidRPr="003B049B">
        <w:rPr>
          <w:lang w:val="cs-CZ" w:eastAsia="cs-CZ"/>
        </w:rPr>
        <w:t>Krajíček Z</w:t>
      </w:r>
      <w:r w:rsidRPr="003B049B">
        <w:t xml:space="preserve">, </w:t>
      </w:r>
      <w:r w:rsidRPr="003B049B">
        <w:rPr>
          <w:i/>
          <w:iCs/>
          <w:lang w:val="cs-CZ" w:eastAsia="cs-CZ"/>
        </w:rPr>
        <w:t>Rozšírenie rozsahu primárného etalónu malého hmotnostného prietoku plynu</w:t>
      </w:r>
      <w:r w:rsidRPr="003B049B">
        <w:t xml:space="preserve"> (</w:t>
      </w:r>
      <w:r w:rsidRPr="003B049B">
        <w:rPr>
          <w:lang w:val="cs-CZ" w:eastAsia="cs-CZ"/>
        </w:rPr>
        <w:t>Bratislava</w:t>
      </w:r>
      <w:r w:rsidRPr="003B049B">
        <w:t xml:space="preserve">, </w:t>
      </w:r>
      <w:r w:rsidRPr="003B049B">
        <w:rPr>
          <w:lang w:val="cs-CZ" w:eastAsia="cs-CZ"/>
        </w:rPr>
        <w:t>STU</w:t>
      </w:r>
      <w:r w:rsidRPr="003B049B">
        <w:t xml:space="preserve">), </w:t>
      </w:r>
      <w:r w:rsidRPr="003B049B">
        <w:rPr>
          <w:lang w:val="en-GB"/>
        </w:rPr>
        <w:t>2013</w:t>
      </w:r>
      <w:r w:rsidRPr="003B049B">
        <w:t>.</w:t>
      </w:r>
      <w:r w:rsidRPr="003B049B">
        <w:rPr>
          <w:lang w:val="en-GB"/>
        </w:rPr>
        <w:t xml:space="preserve"> ISBN </w:t>
      </w:r>
      <w:r w:rsidRPr="003B049B">
        <w:rPr>
          <w:lang w:val="cs-CZ" w:eastAsia="cs-CZ"/>
        </w:rPr>
        <w:t>978-80-227-4014-2 (</w:t>
      </w:r>
      <w:r w:rsidRPr="003B049B">
        <w:rPr>
          <w:i/>
          <w:lang w:val="cs-CZ" w:eastAsia="cs-CZ"/>
        </w:rPr>
        <w:t>in Slovak</w:t>
      </w:r>
      <w:r w:rsidRPr="003B049B">
        <w:rPr>
          <w:lang w:val="cs-CZ" w:eastAsia="cs-CZ"/>
        </w:rPr>
        <w:t>)</w:t>
      </w:r>
    </w:p>
    <w:p w:rsidR="00986533" w:rsidRPr="00067B5F" w:rsidRDefault="00986533" w:rsidP="00B21BA8">
      <w:pPr>
        <w:pStyle w:val="BodyText"/>
        <w:numPr>
          <w:ilvl w:val="0"/>
          <w:numId w:val="5"/>
        </w:numPr>
        <w:ind w:left="426" w:hanging="426"/>
      </w:pPr>
      <w:r w:rsidRPr="00067B5F">
        <w:t>Probert C, Johns A I, Metaxiotou</w:t>
      </w:r>
      <w:r w:rsidRPr="00067B5F">
        <w:rPr>
          <w:caps/>
        </w:rPr>
        <w:t xml:space="preserve"> Z</w:t>
      </w:r>
      <w:r w:rsidRPr="00067B5F">
        <w:t>, “An intercomparison of low gas flow facilities at eleven European laboratories using a Molbloc transfer package:</w:t>
      </w:r>
      <w:r w:rsidRPr="00067B5F">
        <w:rPr>
          <w:bCs/>
        </w:rPr>
        <w:t xml:space="preserve"> EUROMET.M.</w:t>
      </w:r>
      <w:r w:rsidRPr="00067B5F">
        <w:t xml:space="preserve">FF-S3”, </w:t>
      </w:r>
      <w:r w:rsidRPr="00067B5F">
        <w:rPr>
          <w:i/>
          <w:iCs/>
        </w:rPr>
        <w:t>Metrologia</w:t>
      </w:r>
      <w:r w:rsidRPr="00067B5F">
        <w:t xml:space="preserve">, </w:t>
      </w:r>
      <w:r w:rsidRPr="00067B5F">
        <w:rPr>
          <w:b/>
        </w:rPr>
        <w:t>45</w:t>
      </w:r>
      <w:r w:rsidRPr="00067B5F">
        <w:t>, Tech. Suppl. 07012, 2008.</w:t>
      </w:r>
    </w:p>
    <w:p w:rsidR="00986533" w:rsidRPr="00067B5F" w:rsidRDefault="00986533" w:rsidP="00B21BA8">
      <w:pPr>
        <w:pStyle w:val="BodyText"/>
        <w:numPr>
          <w:ilvl w:val="0"/>
          <w:numId w:val="5"/>
        </w:numPr>
        <w:ind w:left="426" w:hanging="426"/>
      </w:pPr>
      <w:r w:rsidRPr="00067B5F">
        <w:rPr>
          <w:rStyle w:val="fn"/>
        </w:rPr>
        <w:t>Kutin J, Bobovnik G, Bajsič I</w:t>
      </w:r>
      <w:r w:rsidRPr="00067B5F">
        <w:t xml:space="preserve">, </w:t>
      </w:r>
      <w:r w:rsidRPr="00067B5F">
        <w:rPr>
          <w:rStyle w:val="fn"/>
          <w:i/>
        </w:rPr>
        <w:t>Report: Direct Comparison of the LMPS Gas Flow Reference Standard at ČMI in the Range (2 to 44000) Scm</w:t>
      </w:r>
      <w:r w:rsidRPr="00067B5F">
        <w:rPr>
          <w:rStyle w:val="fn"/>
          <w:i/>
          <w:vertAlign w:val="superscript"/>
        </w:rPr>
        <w:t>3</w:t>
      </w:r>
      <w:r w:rsidRPr="00067B5F">
        <w:rPr>
          <w:rStyle w:val="fn"/>
          <w:i/>
        </w:rPr>
        <w:t>/min</w:t>
      </w:r>
      <w:r w:rsidRPr="00067B5F">
        <w:t xml:space="preserve"> (Ljubljana: Faculty of Mechanical Engineering), </w:t>
      </w:r>
      <w:r w:rsidRPr="00067B5F">
        <w:rPr>
          <w:rStyle w:val="fn"/>
        </w:rPr>
        <w:t>2012</w:t>
      </w:r>
      <w:r w:rsidRPr="00067B5F">
        <w:t>.</w:t>
      </w:r>
    </w:p>
    <w:p w:rsidR="00986533" w:rsidRPr="00067B5F" w:rsidRDefault="00986533" w:rsidP="00B21BA8">
      <w:pPr>
        <w:pStyle w:val="BodyText"/>
        <w:numPr>
          <w:ilvl w:val="0"/>
          <w:numId w:val="5"/>
        </w:numPr>
        <w:ind w:left="426" w:hanging="426"/>
      </w:pPr>
      <w:r w:rsidRPr="00067B5F">
        <w:rPr>
          <w:lang w:val="cs-CZ" w:eastAsia="cs-CZ"/>
        </w:rPr>
        <w:t>Rombouts C, Bair M, Barbe J, Wright J D, Kramer R, Krajicek Z</w:t>
      </w:r>
      <w:r w:rsidRPr="00067B5F">
        <w:t>, “</w:t>
      </w:r>
      <w:r w:rsidRPr="00067B5F">
        <w:rPr>
          <w:lang w:val="cs-CZ" w:eastAsia="cs-CZ"/>
        </w:rPr>
        <w:t>A Comparison of Primary Gas Flow Standards Spanning the Range from 10 sccm N</w:t>
      </w:r>
      <w:r w:rsidRPr="00067B5F">
        <w:rPr>
          <w:vertAlign w:val="subscript"/>
          <w:lang w:val="cs-CZ" w:eastAsia="cs-CZ"/>
        </w:rPr>
        <w:t>2</w:t>
      </w:r>
      <w:r w:rsidRPr="00067B5F">
        <w:rPr>
          <w:lang w:val="cs-CZ" w:eastAsia="cs-CZ"/>
        </w:rPr>
        <w:t xml:space="preserve"> to 10 slm N</w:t>
      </w:r>
      <w:r w:rsidRPr="00067B5F">
        <w:rPr>
          <w:vertAlign w:val="subscript"/>
          <w:lang w:val="cs-CZ" w:eastAsia="cs-CZ"/>
        </w:rPr>
        <w:t>2</w:t>
      </w:r>
      <w:r w:rsidRPr="00067B5F">
        <w:t xml:space="preserve">”, </w:t>
      </w:r>
      <w:r w:rsidRPr="00067B5F">
        <w:rPr>
          <w:i/>
          <w:iCs/>
          <w:lang w:val="cs-CZ" w:eastAsia="cs-CZ"/>
        </w:rPr>
        <w:t>Measure</w:t>
      </w:r>
      <w:r w:rsidRPr="00067B5F">
        <w:t xml:space="preserve">, </w:t>
      </w:r>
      <w:r w:rsidRPr="00067B5F">
        <w:rPr>
          <w:b/>
        </w:rPr>
        <w:t>9</w:t>
      </w:r>
      <w:r w:rsidRPr="00067B5F">
        <w:t xml:space="preserve">, </w:t>
      </w:r>
      <w:r w:rsidRPr="00067B5F">
        <w:rPr>
          <w:lang w:val="cs-CZ" w:eastAsia="cs-CZ"/>
        </w:rPr>
        <w:t>46–54</w:t>
      </w:r>
      <w:r w:rsidRPr="00067B5F">
        <w:t>, 2014.</w:t>
      </w:r>
    </w:p>
    <w:p w:rsidR="00986533" w:rsidRPr="00067B5F" w:rsidRDefault="00986533" w:rsidP="00B21BA8">
      <w:pPr>
        <w:pStyle w:val="BodyText"/>
        <w:numPr>
          <w:ilvl w:val="0"/>
          <w:numId w:val="5"/>
        </w:numPr>
        <w:ind w:left="426" w:hanging="426"/>
      </w:pPr>
      <w:r w:rsidRPr="00067B5F">
        <w:t xml:space="preserve">Krajíček Z, Vičar M, Pražák D, Tesař J, Hajduk T, Peksa L, Gronych T, Jeřáb M, “Experience with gravimetric flow standard (GFS) in vacuum and hermetic mode”, in </w:t>
      </w:r>
      <w:r w:rsidRPr="00067B5F">
        <w:rPr>
          <w:i/>
        </w:rPr>
        <w:t>XXI IMEKO World Congress Full Papers Book</w:t>
      </w:r>
      <w:r w:rsidRPr="00067B5F">
        <w:t>, 2015. ISBN 978-80-01-05793-3 (online only - pdf).</w:t>
      </w:r>
    </w:p>
    <w:p w:rsidR="00986533" w:rsidRPr="006A6375" w:rsidRDefault="00986533" w:rsidP="00B21BA8">
      <w:pPr>
        <w:pStyle w:val="BodyText"/>
        <w:numPr>
          <w:ilvl w:val="0"/>
          <w:numId w:val="5"/>
        </w:numPr>
        <w:ind w:left="426" w:hanging="426"/>
      </w:pPr>
      <w:r w:rsidRPr="006A6375">
        <w:t xml:space="preserve">Pražák D, Zůda J, Tesař J, Peksa L, Vičar M, “Perspectives of atmospheric reference leaks calibration by gravimetric method”, </w:t>
      </w:r>
      <w:r w:rsidRPr="006A6375">
        <w:rPr>
          <w:i/>
          <w:iCs/>
        </w:rPr>
        <w:t>Measurement</w:t>
      </w:r>
      <w:r w:rsidRPr="006A6375">
        <w:t xml:space="preserve">, </w:t>
      </w:r>
      <w:r w:rsidRPr="006A6375">
        <w:rPr>
          <w:b/>
        </w:rPr>
        <w:t>46</w:t>
      </w:r>
      <w:r w:rsidRPr="006A6375">
        <w:t>, 621</w:t>
      </w:r>
      <w:r w:rsidRPr="006A6375">
        <w:rPr>
          <w:lang w:val="cs-CZ" w:eastAsia="cs-CZ"/>
        </w:rPr>
        <w:t>–</w:t>
      </w:r>
      <w:r w:rsidRPr="006A6375">
        <w:t xml:space="preserve">627, </w:t>
      </w:r>
      <w:r w:rsidRPr="006A6375">
        <w:rPr>
          <w:caps/>
        </w:rPr>
        <w:t>2013</w:t>
      </w:r>
      <w:r w:rsidRPr="006A6375">
        <w:t>.</w:t>
      </w:r>
    </w:p>
    <w:p w:rsidR="00986533" w:rsidRPr="006A6375" w:rsidRDefault="00986533" w:rsidP="00B21BA8">
      <w:pPr>
        <w:pStyle w:val="BodyText"/>
        <w:numPr>
          <w:ilvl w:val="0"/>
          <w:numId w:val="5"/>
        </w:numPr>
        <w:ind w:left="426" w:hanging="426"/>
      </w:pPr>
      <w:r w:rsidRPr="006A6375">
        <w:t xml:space="preserve">Pražák D, Peksa L, Tesař J, Gronych T, Vičar M, “A survey of the principles for primary standards for atmospheric halogenated hydrocarbon-leaks”, </w:t>
      </w:r>
      <w:r w:rsidRPr="006A6375">
        <w:rPr>
          <w:i/>
          <w:iCs/>
        </w:rPr>
        <w:t>Metrologia</w:t>
      </w:r>
      <w:r w:rsidRPr="006A6375">
        <w:t xml:space="preserve">, </w:t>
      </w:r>
      <w:r w:rsidRPr="006A6375">
        <w:rPr>
          <w:b/>
        </w:rPr>
        <w:t>52</w:t>
      </w:r>
      <w:r w:rsidRPr="006A6375">
        <w:t>, R11</w:t>
      </w:r>
      <w:r w:rsidRPr="006A6375">
        <w:rPr>
          <w:lang w:val="cs-CZ" w:eastAsia="cs-CZ"/>
        </w:rPr>
        <w:t>–</w:t>
      </w:r>
      <w:r w:rsidRPr="006A6375">
        <w:t>R21, 2015.</w:t>
      </w:r>
    </w:p>
    <w:p w:rsidR="00986533" w:rsidRDefault="00986533" w:rsidP="00B21BA8">
      <w:pPr>
        <w:pStyle w:val="BodyText"/>
        <w:numPr>
          <w:ilvl w:val="0"/>
          <w:numId w:val="5"/>
        </w:numPr>
        <w:ind w:left="426" w:hanging="426"/>
      </w:pPr>
      <w:r w:rsidRPr="006A6375">
        <w:t xml:space="preserve">Heinonen M, Högström R, </w:t>
      </w:r>
      <w:r w:rsidRPr="006A6375">
        <w:rPr>
          <w:i/>
        </w:rPr>
        <w:t>Comparison report No. M-16D001 – draft</w:t>
      </w:r>
      <w:r w:rsidRPr="006A6375">
        <w:t xml:space="preserve"> (Espoo: MIKES), </w:t>
      </w:r>
      <w:r w:rsidRPr="006A6375">
        <w:rPr>
          <w:rStyle w:val="fn"/>
        </w:rPr>
        <w:t>2016</w:t>
      </w:r>
      <w:r w:rsidRPr="006A6375">
        <w:t>.</w:t>
      </w:r>
    </w:p>
    <w:p w:rsidR="00986533" w:rsidRDefault="00986533" w:rsidP="00D34710">
      <w:pPr>
        <w:pStyle w:val="BodyText"/>
      </w:pPr>
    </w:p>
    <w:sectPr w:rsidR="00986533" w:rsidSect="00A86C33">
      <w:footerReference w:type="default" r:id="rId33"/>
      <w:type w:val="continuous"/>
      <w:pgSz w:w="11906" w:h="16838"/>
      <w:pgMar w:top="1134" w:right="1077" w:bottom="1134" w:left="1077" w:header="708" w:footer="708"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33" w:rsidRDefault="00986533" w:rsidP="00B370F7">
      <w:r>
        <w:separator/>
      </w:r>
    </w:p>
  </w:endnote>
  <w:endnote w:type="continuationSeparator" w:id="0">
    <w:p w:rsidR="00986533" w:rsidRDefault="00986533"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33" w:rsidRPr="00B370F7" w:rsidRDefault="00986533" w:rsidP="005C07BE">
    <w:pPr>
      <w:pStyle w:val="Footer"/>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Pr>
        <w:noProof/>
        <w:sz w:val="20"/>
      </w:rPr>
      <w:t>1</w:t>
    </w:r>
    <w:r w:rsidRPr="00B370F7">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33" w:rsidRPr="00250D41" w:rsidRDefault="00986533" w:rsidP="00250D41">
    <w:pPr>
      <w:pStyle w:val="Footer"/>
      <w:tabs>
        <w:tab w:val="right" w:pos="9781"/>
      </w:tabs>
      <w:rPr>
        <w:sz w:val="20"/>
      </w:rPr>
    </w:pPr>
  </w:p>
  <w:p w:rsidR="00986533" w:rsidRPr="00B370F7" w:rsidRDefault="00986533" w:rsidP="00250D41">
    <w:pPr>
      <w:pStyle w:val="Footer"/>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Pr>
        <w:noProof/>
        <w:sz w:val="20"/>
      </w:rPr>
      <w:t>5</w:t>
    </w:r>
    <w:r w:rsidRPr="00B370F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33" w:rsidRDefault="00986533" w:rsidP="00B370F7">
      <w:r>
        <w:separator/>
      </w:r>
    </w:p>
  </w:footnote>
  <w:footnote w:type="continuationSeparator" w:id="0">
    <w:p w:rsidR="00986533" w:rsidRDefault="00986533"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cs="Times New Roman" w:hint="default"/>
      </w:rPr>
    </w:lvl>
    <w:lvl w:ilvl="1" w:tplc="9D207DDC" w:tentative="1">
      <w:start w:val="1"/>
      <w:numFmt w:val="lowerLetter"/>
      <w:lvlText w:val="%2."/>
      <w:lvlJc w:val="left"/>
      <w:pPr>
        <w:tabs>
          <w:tab w:val="num" w:pos="1440"/>
        </w:tabs>
        <w:ind w:left="1440" w:hanging="360"/>
      </w:pPr>
      <w:rPr>
        <w:rFonts w:cs="Times New Roman"/>
      </w:rPr>
    </w:lvl>
    <w:lvl w:ilvl="2" w:tplc="F718DCF4" w:tentative="1">
      <w:start w:val="1"/>
      <w:numFmt w:val="lowerRoman"/>
      <w:lvlText w:val="%3."/>
      <w:lvlJc w:val="right"/>
      <w:pPr>
        <w:tabs>
          <w:tab w:val="num" w:pos="2160"/>
        </w:tabs>
        <w:ind w:left="2160" w:hanging="180"/>
      </w:pPr>
      <w:rPr>
        <w:rFonts w:cs="Times New Roman"/>
      </w:rPr>
    </w:lvl>
    <w:lvl w:ilvl="3" w:tplc="F9F48DCE" w:tentative="1">
      <w:start w:val="1"/>
      <w:numFmt w:val="decimal"/>
      <w:lvlText w:val="%4."/>
      <w:lvlJc w:val="left"/>
      <w:pPr>
        <w:tabs>
          <w:tab w:val="num" w:pos="2880"/>
        </w:tabs>
        <w:ind w:left="2880" w:hanging="360"/>
      </w:pPr>
      <w:rPr>
        <w:rFonts w:cs="Times New Roman"/>
      </w:rPr>
    </w:lvl>
    <w:lvl w:ilvl="4" w:tplc="8CD2F178" w:tentative="1">
      <w:start w:val="1"/>
      <w:numFmt w:val="lowerLetter"/>
      <w:lvlText w:val="%5."/>
      <w:lvlJc w:val="left"/>
      <w:pPr>
        <w:tabs>
          <w:tab w:val="num" w:pos="3600"/>
        </w:tabs>
        <w:ind w:left="3600" w:hanging="360"/>
      </w:pPr>
      <w:rPr>
        <w:rFonts w:cs="Times New Roman"/>
      </w:rPr>
    </w:lvl>
    <w:lvl w:ilvl="5" w:tplc="1F2E9A0A" w:tentative="1">
      <w:start w:val="1"/>
      <w:numFmt w:val="lowerRoman"/>
      <w:lvlText w:val="%6."/>
      <w:lvlJc w:val="right"/>
      <w:pPr>
        <w:tabs>
          <w:tab w:val="num" w:pos="4320"/>
        </w:tabs>
        <w:ind w:left="4320" w:hanging="180"/>
      </w:pPr>
      <w:rPr>
        <w:rFonts w:cs="Times New Roman"/>
      </w:rPr>
    </w:lvl>
    <w:lvl w:ilvl="6" w:tplc="1836100E" w:tentative="1">
      <w:start w:val="1"/>
      <w:numFmt w:val="decimal"/>
      <w:lvlText w:val="%7."/>
      <w:lvlJc w:val="left"/>
      <w:pPr>
        <w:tabs>
          <w:tab w:val="num" w:pos="5040"/>
        </w:tabs>
        <w:ind w:left="5040" w:hanging="360"/>
      </w:pPr>
      <w:rPr>
        <w:rFonts w:cs="Times New Roman"/>
      </w:rPr>
    </w:lvl>
    <w:lvl w:ilvl="7" w:tplc="4D46D95A" w:tentative="1">
      <w:start w:val="1"/>
      <w:numFmt w:val="lowerLetter"/>
      <w:lvlText w:val="%8."/>
      <w:lvlJc w:val="left"/>
      <w:pPr>
        <w:tabs>
          <w:tab w:val="num" w:pos="5760"/>
        </w:tabs>
        <w:ind w:left="5760" w:hanging="360"/>
      </w:pPr>
      <w:rPr>
        <w:rFonts w:cs="Times New Roman"/>
      </w:rPr>
    </w:lvl>
    <w:lvl w:ilvl="8" w:tplc="DAE4DC74" w:tentative="1">
      <w:start w:val="1"/>
      <w:numFmt w:val="lowerRoman"/>
      <w:lvlText w:val="%9."/>
      <w:lvlJc w:val="right"/>
      <w:pPr>
        <w:tabs>
          <w:tab w:val="num" w:pos="6480"/>
        </w:tabs>
        <w:ind w:left="6480" w:hanging="180"/>
      </w:pPr>
      <w:rPr>
        <w:rFonts w:cs="Times New Roman"/>
      </w:r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cs="Times New Roman" w:hint="default"/>
      </w:rPr>
    </w:lvl>
    <w:lvl w:ilvl="1" w:tplc="EB4EC2D6" w:tentative="1">
      <w:start w:val="1"/>
      <w:numFmt w:val="lowerLetter"/>
      <w:lvlText w:val="%2."/>
      <w:lvlJc w:val="left"/>
      <w:pPr>
        <w:tabs>
          <w:tab w:val="num" w:pos="1440"/>
        </w:tabs>
        <w:ind w:left="1440" w:hanging="360"/>
      </w:pPr>
      <w:rPr>
        <w:rFonts w:cs="Times New Roman"/>
      </w:rPr>
    </w:lvl>
    <w:lvl w:ilvl="2" w:tplc="07886CDE" w:tentative="1">
      <w:start w:val="1"/>
      <w:numFmt w:val="lowerRoman"/>
      <w:lvlText w:val="%3."/>
      <w:lvlJc w:val="right"/>
      <w:pPr>
        <w:tabs>
          <w:tab w:val="num" w:pos="2160"/>
        </w:tabs>
        <w:ind w:left="2160" w:hanging="180"/>
      </w:pPr>
      <w:rPr>
        <w:rFonts w:cs="Times New Roman"/>
      </w:rPr>
    </w:lvl>
    <w:lvl w:ilvl="3" w:tplc="08365304" w:tentative="1">
      <w:start w:val="1"/>
      <w:numFmt w:val="decimal"/>
      <w:lvlText w:val="%4."/>
      <w:lvlJc w:val="left"/>
      <w:pPr>
        <w:tabs>
          <w:tab w:val="num" w:pos="2880"/>
        </w:tabs>
        <w:ind w:left="2880" w:hanging="360"/>
      </w:pPr>
      <w:rPr>
        <w:rFonts w:cs="Times New Roman"/>
      </w:rPr>
    </w:lvl>
    <w:lvl w:ilvl="4" w:tplc="30241B4A" w:tentative="1">
      <w:start w:val="1"/>
      <w:numFmt w:val="lowerLetter"/>
      <w:lvlText w:val="%5."/>
      <w:lvlJc w:val="left"/>
      <w:pPr>
        <w:tabs>
          <w:tab w:val="num" w:pos="3600"/>
        </w:tabs>
        <w:ind w:left="3600" w:hanging="360"/>
      </w:pPr>
      <w:rPr>
        <w:rFonts w:cs="Times New Roman"/>
      </w:rPr>
    </w:lvl>
    <w:lvl w:ilvl="5" w:tplc="3DA8D728" w:tentative="1">
      <w:start w:val="1"/>
      <w:numFmt w:val="lowerRoman"/>
      <w:lvlText w:val="%6."/>
      <w:lvlJc w:val="right"/>
      <w:pPr>
        <w:tabs>
          <w:tab w:val="num" w:pos="4320"/>
        </w:tabs>
        <w:ind w:left="4320" w:hanging="180"/>
      </w:pPr>
      <w:rPr>
        <w:rFonts w:cs="Times New Roman"/>
      </w:rPr>
    </w:lvl>
    <w:lvl w:ilvl="6" w:tplc="A6BAA0B4" w:tentative="1">
      <w:start w:val="1"/>
      <w:numFmt w:val="decimal"/>
      <w:lvlText w:val="%7."/>
      <w:lvlJc w:val="left"/>
      <w:pPr>
        <w:tabs>
          <w:tab w:val="num" w:pos="5040"/>
        </w:tabs>
        <w:ind w:left="5040" w:hanging="360"/>
      </w:pPr>
      <w:rPr>
        <w:rFonts w:cs="Times New Roman"/>
      </w:rPr>
    </w:lvl>
    <w:lvl w:ilvl="7" w:tplc="9044115A" w:tentative="1">
      <w:start w:val="1"/>
      <w:numFmt w:val="lowerLetter"/>
      <w:lvlText w:val="%8."/>
      <w:lvlJc w:val="left"/>
      <w:pPr>
        <w:tabs>
          <w:tab w:val="num" w:pos="5760"/>
        </w:tabs>
        <w:ind w:left="5760" w:hanging="360"/>
      </w:pPr>
      <w:rPr>
        <w:rFonts w:cs="Times New Roman"/>
      </w:rPr>
    </w:lvl>
    <w:lvl w:ilvl="8" w:tplc="04244972" w:tentative="1">
      <w:start w:val="1"/>
      <w:numFmt w:val="lowerRoman"/>
      <w:lvlText w:val="%9."/>
      <w:lvlJc w:val="right"/>
      <w:pPr>
        <w:tabs>
          <w:tab w:val="num" w:pos="6480"/>
        </w:tabs>
        <w:ind w:left="6480" w:hanging="180"/>
      </w:pPr>
      <w:rPr>
        <w:rFonts w:cs="Times New Roman"/>
      </w:rPr>
    </w:lvl>
  </w:abstractNum>
  <w:abstractNum w:abstractNumId="2">
    <w:nsid w:val="65704C44"/>
    <w:multiLevelType w:val="hybridMultilevel"/>
    <w:tmpl w:val="097C1C70"/>
    <w:lvl w:ilvl="0" w:tplc="F6D02004">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cs="Times New Roman" w:hint="default"/>
      </w:rPr>
    </w:lvl>
    <w:lvl w:ilvl="1" w:tplc="86FCDBBC" w:tentative="1">
      <w:start w:val="1"/>
      <w:numFmt w:val="lowerLetter"/>
      <w:lvlText w:val="%2."/>
      <w:lvlJc w:val="left"/>
      <w:pPr>
        <w:tabs>
          <w:tab w:val="num" w:pos="1440"/>
        </w:tabs>
        <w:ind w:left="1440" w:hanging="360"/>
      </w:pPr>
      <w:rPr>
        <w:rFonts w:cs="Times New Roman"/>
      </w:rPr>
    </w:lvl>
    <w:lvl w:ilvl="2" w:tplc="72745876" w:tentative="1">
      <w:start w:val="1"/>
      <w:numFmt w:val="lowerRoman"/>
      <w:lvlText w:val="%3."/>
      <w:lvlJc w:val="right"/>
      <w:pPr>
        <w:tabs>
          <w:tab w:val="num" w:pos="2160"/>
        </w:tabs>
        <w:ind w:left="2160" w:hanging="180"/>
      </w:pPr>
      <w:rPr>
        <w:rFonts w:cs="Times New Roman"/>
      </w:rPr>
    </w:lvl>
    <w:lvl w:ilvl="3" w:tplc="133412D6" w:tentative="1">
      <w:start w:val="1"/>
      <w:numFmt w:val="decimal"/>
      <w:lvlText w:val="%4."/>
      <w:lvlJc w:val="left"/>
      <w:pPr>
        <w:tabs>
          <w:tab w:val="num" w:pos="2880"/>
        </w:tabs>
        <w:ind w:left="2880" w:hanging="360"/>
      </w:pPr>
      <w:rPr>
        <w:rFonts w:cs="Times New Roman"/>
      </w:rPr>
    </w:lvl>
    <w:lvl w:ilvl="4" w:tplc="04D4775E" w:tentative="1">
      <w:start w:val="1"/>
      <w:numFmt w:val="lowerLetter"/>
      <w:lvlText w:val="%5."/>
      <w:lvlJc w:val="left"/>
      <w:pPr>
        <w:tabs>
          <w:tab w:val="num" w:pos="3600"/>
        </w:tabs>
        <w:ind w:left="3600" w:hanging="360"/>
      </w:pPr>
      <w:rPr>
        <w:rFonts w:cs="Times New Roman"/>
      </w:rPr>
    </w:lvl>
    <w:lvl w:ilvl="5" w:tplc="E3D2A262" w:tentative="1">
      <w:start w:val="1"/>
      <w:numFmt w:val="lowerRoman"/>
      <w:lvlText w:val="%6."/>
      <w:lvlJc w:val="right"/>
      <w:pPr>
        <w:tabs>
          <w:tab w:val="num" w:pos="4320"/>
        </w:tabs>
        <w:ind w:left="4320" w:hanging="180"/>
      </w:pPr>
      <w:rPr>
        <w:rFonts w:cs="Times New Roman"/>
      </w:rPr>
    </w:lvl>
    <w:lvl w:ilvl="6" w:tplc="08621316" w:tentative="1">
      <w:start w:val="1"/>
      <w:numFmt w:val="decimal"/>
      <w:lvlText w:val="%7."/>
      <w:lvlJc w:val="left"/>
      <w:pPr>
        <w:tabs>
          <w:tab w:val="num" w:pos="5040"/>
        </w:tabs>
        <w:ind w:left="5040" w:hanging="360"/>
      </w:pPr>
      <w:rPr>
        <w:rFonts w:cs="Times New Roman"/>
      </w:rPr>
    </w:lvl>
    <w:lvl w:ilvl="7" w:tplc="721E4316" w:tentative="1">
      <w:start w:val="1"/>
      <w:numFmt w:val="lowerLetter"/>
      <w:lvlText w:val="%8."/>
      <w:lvlJc w:val="left"/>
      <w:pPr>
        <w:tabs>
          <w:tab w:val="num" w:pos="5760"/>
        </w:tabs>
        <w:ind w:left="5760" w:hanging="360"/>
      </w:pPr>
      <w:rPr>
        <w:rFonts w:cs="Times New Roman"/>
      </w:rPr>
    </w:lvl>
    <w:lvl w:ilvl="8" w:tplc="27D6B398"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isplayBackgroundShape/>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C46"/>
    <w:rsid w:val="00003473"/>
    <w:rsid w:val="0002127D"/>
    <w:rsid w:val="00067B5F"/>
    <w:rsid w:val="00073F3E"/>
    <w:rsid w:val="000867E2"/>
    <w:rsid w:val="000B64BD"/>
    <w:rsid w:val="000D5A9D"/>
    <w:rsid w:val="000F714A"/>
    <w:rsid w:val="001047D1"/>
    <w:rsid w:val="00185917"/>
    <w:rsid w:val="001874E3"/>
    <w:rsid w:val="001973C7"/>
    <w:rsid w:val="001A3D70"/>
    <w:rsid w:val="001A60D6"/>
    <w:rsid w:val="001B6E73"/>
    <w:rsid w:val="001C10F6"/>
    <w:rsid w:val="001E4AD0"/>
    <w:rsid w:val="00212077"/>
    <w:rsid w:val="00250017"/>
    <w:rsid w:val="00250D41"/>
    <w:rsid w:val="002A73B9"/>
    <w:rsid w:val="002D2974"/>
    <w:rsid w:val="002F11BF"/>
    <w:rsid w:val="00303350"/>
    <w:rsid w:val="0030671E"/>
    <w:rsid w:val="00336596"/>
    <w:rsid w:val="00340852"/>
    <w:rsid w:val="00342250"/>
    <w:rsid w:val="00346A99"/>
    <w:rsid w:val="003676E4"/>
    <w:rsid w:val="00371A94"/>
    <w:rsid w:val="00376481"/>
    <w:rsid w:val="003B049B"/>
    <w:rsid w:val="003B5EF8"/>
    <w:rsid w:val="003C013A"/>
    <w:rsid w:val="003C0BF7"/>
    <w:rsid w:val="003D6491"/>
    <w:rsid w:val="0045017B"/>
    <w:rsid w:val="004501A7"/>
    <w:rsid w:val="00461581"/>
    <w:rsid w:val="00466CB0"/>
    <w:rsid w:val="004778FA"/>
    <w:rsid w:val="00481C7F"/>
    <w:rsid w:val="004B7BBA"/>
    <w:rsid w:val="004D16D1"/>
    <w:rsid w:val="004E6616"/>
    <w:rsid w:val="0051727D"/>
    <w:rsid w:val="00540AA5"/>
    <w:rsid w:val="005912E1"/>
    <w:rsid w:val="005A2720"/>
    <w:rsid w:val="005A5427"/>
    <w:rsid w:val="005B2133"/>
    <w:rsid w:val="005B3B20"/>
    <w:rsid w:val="005B68B4"/>
    <w:rsid w:val="005C07BE"/>
    <w:rsid w:val="005C4A69"/>
    <w:rsid w:val="005E7508"/>
    <w:rsid w:val="005F2C46"/>
    <w:rsid w:val="00606CE0"/>
    <w:rsid w:val="006248F6"/>
    <w:rsid w:val="00627F35"/>
    <w:rsid w:val="00637134"/>
    <w:rsid w:val="00641DAC"/>
    <w:rsid w:val="00657F17"/>
    <w:rsid w:val="00674A09"/>
    <w:rsid w:val="00681D03"/>
    <w:rsid w:val="0069277C"/>
    <w:rsid w:val="006A6231"/>
    <w:rsid w:val="006A6375"/>
    <w:rsid w:val="006B45DC"/>
    <w:rsid w:val="006D10D4"/>
    <w:rsid w:val="006F12BB"/>
    <w:rsid w:val="007778ED"/>
    <w:rsid w:val="00780833"/>
    <w:rsid w:val="00791A2D"/>
    <w:rsid w:val="00796B0A"/>
    <w:rsid w:val="007D499A"/>
    <w:rsid w:val="007D7962"/>
    <w:rsid w:val="007F73B3"/>
    <w:rsid w:val="00807BEF"/>
    <w:rsid w:val="008127E2"/>
    <w:rsid w:val="00815774"/>
    <w:rsid w:val="00825F28"/>
    <w:rsid w:val="008357DD"/>
    <w:rsid w:val="00844209"/>
    <w:rsid w:val="00850D1D"/>
    <w:rsid w:val="00862E7E"/>
    <w:rsid w:val="008637EE"/>
    <w:rsid w:val="0089240F"/>
    <w:rsid w:val="008B29EC"/>
    <w:rsid w:val="008B4239"/>
    <w:rsid w:val="008D03B8"/>
    <w:rsid w:val="00905079"/>
    <w:rsid w:val="009578E8"/>
    <w:rsid w:val="009629A5"/>
    <w:rsid w:val="00984CB7"/>
    <w:rsid w:val="00986533"/>
    <w:rsid w:val="009B14EA"/>
    <w:rsid w:val="009D3767"/>
    <w:rsid w:val="009E4589"/>
    <w:rsid w:val="009E4DDB"/>
    <w:rsid w:val="009E6F08"/>
    <w:rsid w:val="00A0063B"/>
    <w:rsid w:val="00A00C98"/>
    <w:rsid w:val="00A01B70"/>
    <w:rsid w:val="00A12E51"/>
    <w:rsid w:val="00A217DA"/>
    <w:rsid w:val="00A42416"/>
    <w:rsid w:val="00A45D7A"/>
    <w:rsid w:val="00A56A69"/>
    <w:rsid w:val="00A86C33"/>
    <w:rsid w:val="00AB51F5"/>
    <w:rsid w:val="00AC1DFF"/>
    <w:rsid w:val="00AC2AB2"/>
    <w:rsid w:val="00AE2593"/>
    <w:rsid w:val="00AE4219"/>
    <w:rsid w:val="00AE5A10"/>
    <w:rsid w:val="00AE6964"/>
    <w:rsid w:val="00AF5702"/>
    <w:rsid w:val="00AF5F08"/>
    <w:rsid w:val="00B03E48"/>
    <w:rsid w:val="00B03EB8"/>
    <w:rsid w:val="00B10ED0"/>
    <w:rsid w:val="00B20DF1"/>
    <w:rsid w:val="00B21BA8"/>
    <w:rsid w:val="00B33C9D"/>
    <w:rsid w:val="00B370F7"/>
    <w:rsid w:val="00B42D5C"/>
    <w:rsid w:val="00B56E22"/>
    <w:rsid w:val="00B7061F"/>
    <w:rsid w:val="00B73749"/>
    <w:rsid w:val="00B8734B"/>
    <w:rsid w:val="00BD0623"/>
    <w:rsid w:val="00BD66B3"/>
    <w:rsid w:val="00BE2A1A"/>
    <w:rsid w:val="00BE7A69"/>
    <w:rsid w:val="00C062E7"/>
    <w:rsid w:val="00C0792D"/>
    <w:rsid w:val="00C368C6"/>
    <w:rsid w:val="00C45539"/>
    <w:rsid w:val="00C5373D"/>
    <w:rsid w:val="00C638EB"/>
    <w:rsid w:val="00C77594"/>
    <w:rsid w:val="00CA3E9B"/>
    <w:rsid w:val="00CE17A9"/>
    <w:rsid w:val="00CF79B9"/>
    <w:rsid w:val="00D0073E"/>
    <w:rsid w:val="00D13359"/>
    <w:rsid w:val="00D34710"/>
    <w:rsid w:val="00D72F72"/>
    <w:rsid w:val="00DA4EB8"/>
    <w:rsid w:val="00E16A32"/>
    <w:rsid w:val="00E22064"/>
    <w:rsid w:val="00EA6110"/>
    <w:rsid w:val="00EA7B43"/>
    <w:rsid w:val="00EF2029"/>
    <w:rsid w:val="00F12B66"/>
    <w:rsid w:val="00F62060"/>
    <w:rsid w:val="00F735CB"/>
    <w:rsid w:val="00F87817"/>
    <w:rsid w:val="00F96FF1"/>
    <w:rsid w:val="00FB3D6C"/>
    <w:rsid w:val="00FC1BA3"/>
    <w:rsid w:val="00FE2794"/>
    <w:rsid w:val="00FF2D4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2D"/>
    <w:rPr>
      <w:sz w:val="24"/>
      <w:szCs w:val="20"/>
      <w:lang w:val="en-AU" w:eastAsia="en-GB"/>
    </w:rPr>
  </w:style>
  <w:style w:type="paragraph" w:styleId="Heading1">
    <w:name w:val="heading 1"/>
    <w:basedOn w:val="Normal"/>
    <w:next w:val="Normal"/>
    <w:link w:val="Heading1Char"/>
    <w:uiPriority w:val="99"/>
    <w:qFormat/>
    <w:rsid w:val="00791A2D"/>
    <w:pPr>
      <w:keepNext/>
      <w:outlineLvl w:val="0"/>
    </w:pPr>
    <w:rPr>
      <w:b/>
      <w:sz w:val="20"/>
    </w:rPr>
  </w:style>
  <w:style w:type="paragraph" w:styleId="Heading2">
    <w:name w:val="heading 2"/>
    <w:basedOn w:val="Normal"/>
    <w:next w:val="Normal"/>
    <w:link w:val="Heading2Char"/>
    <w:uiPriority w:val="99"/>
    <w:qFormat/>
    <w:rsid w:val="00791A2D"/>
    <w:pPr>
      <w:keepNext/>
      <w:outlineLvl w:val="1"/>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03B"/>
    <w:rPr>
      <w:rFonts w:asciiTheme="majorHAnsi" w:eastAsiaTheme="majorEastAsia" w:hAnsiTheme="majorHAnsi" w:cstheme="majorBidi"/>
      <w:b/>
      <w:bCs/>
      <w:kern w:val="32"/>
      <w:sz w:val="32"/>
      <w:szCs w:val="32"/>
      <w:lang w:val="en-AU" w:eastAsia="en-GB"/>
    </w:rPr>
  </w:style>
  <w:style w:type="character" w:customStyle="1" w:styleId="Heading2Char">
    <w:name w:val="Heading 2 Char"/>
    <w:basedOn w:val="DefaultParagraphFont"/>
    <w:link w:val="Heading2"/>
    <w:uiPriority w:val="9"/>
    <w:semiHidden/>
    <w:rsid w:val="0010203B"/>
    <w:rPr>
      <w:rFonts w:asciiTheme="majorHAnsi" w:eastAsiaTheme="majorEastAsia" w:hAnsiTheme="majorHAnsi" w:cstheme="majorBidi"/>
      <w:b/>
      <w:bCs/>
      <w:i/>
      <w:iCs/>
      <w:sz w:val="28"/>
      <w:szCs w:val="28"/>
      <w:lang w:val="en-AU" w:eastAsia="en-GB"/>
    </w:rPr>
  </w:style>
  <w:style w:type="paragraph" w:styleId="Caption">
    <w:name w:val="caption"/>
    <w:basedOn w:val="Normal"/>
    <w:next w:val="Normal"/>
    <w:uiPriority w:val="99"/>
    <w:qFormat/>
    <w:rsid w:val="00791A2D"/>
    <w:pPr>
      <w:spacing w:before="120" w:after="120"/>
      <w:jc w:val="both"/>
    </w:pPr>
    <w:rPr>
      <w:b/>
      <w:sz w:val="16"/>
    </w:rPr>
  </w:style>
  <w:style w:type="paragraph" w:styleId="BodyText">
    <w:name w:val="Body Text"/>
    <w:basedOn w:val="Normal"/>
    <w:link w:val="BodyTextChar"/>
    <w:uiPriority w:val="99"/>
    <w:rsid w:val="00791A2D"/>
    <w:pPr>
      <w:jc w:val="both"/>
    </w:pPr>
    <w:rPr>
      <w:sz w:val="20"/>
    </w:rPr>
  </w:style>
  <w:style w:type="character" w:customStyle="1" w:styleId="BodyTextChar">
    <w:name w:val="Body Text Char"/>
    <w:basedOn w:val="DefaultParagraphFont"/>
    <w:link w:val="BodyText"/>
    <w:uiPriority w:val="99"/>
    <w:semiHidden/>
    <w:rsid w:val="0010203B"/>
    <w:rPr>
      <w:sz w:val="24"/>
      <w:szCs w:val="20"/>
      <w:lang w:val="en-AU" w:eastAsia="en-GB"/>
    </w:rPr>
  </w:style>
  <w:style w:type="paragraph" w:styleId="Title">
    <w:name w:val="Title"/>
    <w:basedOn w:val="Normal"/>
    <w:link w:val="TitleChar"/>
    <w:uiPriority w:val="99"/>
    <w:qFormat/>
    <w:rsid w:val="00791A2D"/>
    <w:pPr>
      <w:jc w:val="center"/>
    </w:pPr>
    <w:rPr>
      <w:b/>
      <w:sz w:val="36"/>
    </w:rPr>
  </w:style>
  <w:style w:type="character" w:customStyle="1" w:styleId="TitleChar">
    <w:name w:val="Title Char"/>
    <w:basedOn w:val="DefaultParagraphFont"/>
    <w:link w:val="Title"/>
    <w:uiPriority w:val="10"/>
    <w:rsid w:val="0010203B"/>
    <w:rPr>
      <w:rFonts w:asciiTheme="majorHAnsi" w:eastAsiaTheme="majorEastAsia" w:hAnsiTheme="majorHAnsi" w:cstheme="majorBidi"/>
      <w:b/>
      <w:bCs/>
      <w:kern w:val="28"/>
      <w:sz w:val="32"/>
      <w:szCs w:val="32"/>
      <w:lang w:val="en-AU" w:eastAsia="en-GB"/>
    </w:rPr>
  </w:style>
  <w:style w:type="paragraph" w:styleId="BodyTextIndent">
    <w:name w:val="Body Text Indent"/>
    <w:basedOn w:val="Normal"/>
    <w:link w:val="BodyTextIndentChar"/>
    <w:uiPriority w:val="99"/>
    <w:rsid w:val="00791A2D"/>
    <w:pPr>
      <w:ind w:left="360"/>
    </w:pPr>
  </w:style>
  <w:style w:type="character" w:customStyle="1" w:styleId="BodyTextIndentChar">
    <w:name w:val="Body Text Indent Char"/>
    <w:basedOn w:val="DefaultParagraphFont"/>
    <w:link w:val="BodyTextIndent"/>
    <w:uiPriority w:val="99"/>
    <w:semiHidden/>
    <w:rsid w:val="0010203B"/>
    <w:rPr>
      <w:sz w:val="24"/>
      <w:szCs w:val="20"/>
      <w:lang w:val="en-AU" w:eastAsia="en-GB"/>
    </w:rPr>
  </w:style>
  <w:style w:type="paragraph" w:styleId="ListParagraph">
    <w:name w:val="List Paragraph"/>
    <w:basedOn w:val="Normal"/>
    <w:uiPriority w:val="99"/>
    <w:qFormat/>
    <w:rsid w:val="00B21BA8"/>
    <w:pPr>
      <w:ind w:left="720"/>
    </w:pPr>
  </w:style>
  <w:style w:type="paragraph" w:styleId="Header">
    <w:name w:val="header"/>
    <w:basedOn w:val="Normal"/>
    <w:link w:val="HeaderChar"/>
    <w:uiPriority w:val="99"/>
    <w:rsid w:val="00B370F7"/>
    <w:pPr>
      <w:tabs>
        <w:tab w:val="center" w:pos="4513"/>
        <w:tab w:val="right" w:pos="9026"/>
      </w:tabs>
    </w:pPr>
  </w:style>
  <w:style w:type="character" w:customStyle="1" w:styleId="HeaderChar">
    <w:name w:val="Header Char"/>
    <w:basedOn w:val="DefaultParagraphFont"/>
    <w:link w:val="Header"/>
    <w:uiPriority w:val="99"/>
    <w:locked/>
    <w:rsid w:val="00B370F7"/>
    <w:rPr>
      <w:sz w:val="24"/>
      <w:lang w:val="en-AU" w:eastAsia="en-GB"/>
    </w:rPr>
  </w:style>
  <w:style w:type="paragraph" w:styleId="Footer">
    <w:name w:val="footer"/>
    <w:basedOn w:val="Normal"/>
    <w:link w:val="FooterChar"/>
    <w:uiPriority w:val="99"/>
    <w:rsid w:val="00B370F7"/>
    <w:pPr>
      <w:tabs>
        <w:tab w:val="center" w:pos="4513"/>
        <w:tab w:val="right" w:pos="9026"/>
      </w:tabs>
    </w:pPr>
  </w:style>
  <w:style w:type="character" w:customStyle="1" w:styleId="FooterChar">
    <w:name w:val="Footer Char"/>
    <w:basedOn w:val="DefaultParagraphFont"/>
    <w:link w:val="Footer"/>
    <w:uiPriority w:val="99"/>
    <w:locked/>
    <w:rsid w:val="00B370F7"/>
    <w:rPr>
      <w:sz w:val="24"/>
      <w:lang w:val="en-AU" w:eastAsia="en-GB"/>
    </w:rPr>
  </w:style>
  <w:style w:type="paragraph" w:styleId="BalloonText">
    <w:name w:val="Balloon Text"/>
    <w:basedOn w:val="Normal"/>
    <w:link w:val="BalloonTextChar"/>
    <w:uiPriority w:val="99"/>
    <w:rsid w:val="00250D41"/>
    <w:rPr>
      <w:rFonts w:ascii="Tahoma" w:hAnsi="Tahoma" w:cs="Tahoma"/>
      <w:sz w:val="16"/>
      <w:szCs w:val="16"/>
    </w:rPr>
  </w:style>
  <w:style w:type="character" w:customStyle="1" w:styleId="BalloonTextChar">
    <w:name w:val="Balloon Text Char"/>
    <w:basedOn w:val="DefaultParagraphFont"/>
    <w:link w:val="BalloonText"/>
    <w:uiPriority w:val="99"/>
    <w:locked/>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rFonts w:cs="Times New Roman"/>
      <w:color w:val="808080"/>
    </w:rPr>
  </w:style>
  <w:style w:type="character" w:styleId="Hyperlink">
    <w:name w:val="Hyperlink"/>
    <w:basedOn w:val="DefaultParagraphFont"/>
    <w:uiPriority w:val="99"/>
    <w:rsid w:val="00250D41"/>
    <w:rPr>
      <w:rFonts w:cs="Times New Roman"/>
      <w:color w:val="0000FF"/>
      <w:u w:val="single"/>
    </w:rPr>
  </w:style>
  <w:style w:type="character" w:styleId="FollowedHyperlink">
    <w:name w:val="FollowedHyperlink"/>
    <w:basedOn w:val="DefaultParagraphFont"/>
    <w:uiPriority w:val="99"/>
    <w:rsid w:val="00A86C33"/>
    <w:rPr>
      <w:rFonts w:cs="Times New Roman"/>
      <w:color w:val="800080"/>
      <w:u w:val="single"/>
    </w:rPr>
  </w:style>
  <w:style w:type="character" w:customStyle="1" w:styleId="fn">
    <w:name w:val="fn"/>
    <w:basedOn w:val="DefaultParagraphFont"/>
    <w:uiPriority w:val="99"/>
    <w:rsid w:val="00CA3E9B"/>
    <w:rPr>
      <w:rFonts w:cs="Times New Roman"/>
    </w:rPr>
  </w:style>
  <w:style w:type="paragraph" w:customStyle="1" w:styleId="Paragraph">
    <w:name w:val="Paragraph"/>
    <w:basedOn w:val="Normal"/>
    <w:uiPriority w:val="99"/>
    <w:rsid w:val="008127E2"/>
    <w:pPr>
      <w:spacing w:before="120"/>
      <w:ind w:firstLine="720"/>
    </w:pPr>
    <w:rPr>
      <w:szCs w:val="24"/>
      <w:lang w:val="en-US" w:eastAsia="en-US"/>
    </w:rPr>
  </w:style>
  <w:style w:type="paragraph" w:customStyle="1" w:styleId="Figure">
    <w:name w:val="Figure"/>
    <w:basedOn w:val="Normal"/>
    <w:uiPriority w:val="99"/>
    <w:rsid w:val="008127E2"/>
    <w:pPr>
      <w:spacing w:before="240" w:after="240"/>
      <w:jc w:val="center"/>
      <w:outlineLvl w:val="0"/>
    </w:pPr>
    <w:rPr>
      <w:sz w:val="18"/>
      <w:szCs w:val="24"/>
      <w:lang w:val="en-GB"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jpeg"/><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image" Target="media/image13.wmf"/><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MSA2011 template[1].dot</Template>
  <TotalTime>0</TotalTime>
  <Pages>5</Pages>
  <Words>2776</Words>
  <Characters>16380</Characters>
  <Application>Microsoft Office Outlook</Application>
  <DocSecurity>0</DocSecurity>
  <Lines>0</Lines>
  <Paragraphs>0</Paragraphs>
  <ScaleCrop>false</ScaleCrop>
  <Company>Metrology Society of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subject/>
  <dc:creator>rod.white</dc:creator>
  <cp:keywords/>
  <dc:description/>
  <cp:lastModifiedBy>Admin</cp:lastModifiedBy>
  <cp:revision>2</cp:revision>
  <cp:lastPrinted>2016-06-16T11:32:00Z</cp:lastPrinted>
  <dcterms:created xsi:type="dcterms:W3CDTF">2016-07-29T08:09:00Z</dcterms:created>
  <dcterms:modified xsi:type="dcterms:W3CDTF">2016-07-29T08:09:00Z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