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C46" w:rsidRDefault="000D1C63">
      <w:pPr>
        <w:pStyle w:val="Title"/>
      </w:pPr>
      <w:r>
        <w:t xml:space="preserve">Bilateral Comparison between NMISA and </w:t>
      </w:r>
      <w:r w:rsidR="002943A8">
        <w:t>VTT-</w:t>
      </w:r>
      <w:r>
        <w:t xml:space="preserve">MIKES – Part of the NMISA Flow Laboratory Journey to Accreditation </w:t>
      </w:r>
    </w:p>
    <w:p w:rsidR="005F2C46" w:rsidRDefault="005F2C46"/>
    <w:p w:rsidR="000D1C63" w:rsidRPr="00F969C4" w:rsidRDefault="000D1C63" w:rsidP="000D1C63">
      <w:pPr>
        <w:pStyle w:val="BodyText"/>
        <w:jc w:val="center"/>
        <w:rPr>
          <w:b/>
          <w:sz w:val="24"/>
          <w:lang w:val="fi-FI"/>
        </w:rPr>
      </w:pPr>
      <w:r w:rsidRPr="00F969C4">
        <w:rPr>
          <w:b/>
          <w:sz w:val="24"/>
          <w:lang w:val="fi-FI"/>
        </w:rPr>
        <w:t>D. Jonker</w:t>
      </w:r>
      <w:r w:rsidRPr="00F969C4">
        <w:rPr>
          <w:b/>
          <w:sz w:val="24"/>
          <w:vertAlign w:val="superscript"/>
          <w:lang w:val="fi-FI"/>
        </w:rPr>
        <w:t>1</w:t>
      </w:r>
      <w:r w:rsidRPr="00F969C4">
        <w:rPr>
          <w:b/>
          <w:sz w:val="24"/>
          <w:lang w:val="fi-FI"/>
        </w:rPr>
        <w:t>, R. Högström</w:t>
      </w:r>
      <w:r w:rsidRPr="00F969C4">
        <w:rPr>
          <w:b/>
          <w:sz w:val="24"/>
          <w:vertAlign w:val="superscript"/>
          <w:lang w:val="fi-FI"/>
        </w:rPr>
        <w:t>2</w:t>
      </w:r>
      <w:r w:rsidRPr="00F969C4">
        <w:rPr>
          <w:b/>
          <w:sz w:val="24"/>
          <w:lang w:val="fi-FI"/>
        </w:rPr>
        <w:t>, M. W. Dlamini</w:t>
      </w:r>
      <w:r w:rsidR="00150189">
        <w:rPr>
          <w:b/>
          <w:sz w:val="24"/>
          <w:vertAlign w:val="superscript"/>
          <w:lang w:val="fi-FI"/>
        </w:rPr>
        <w:t>1</w:t>
      </w:r>
      <w:r w:rsidRPr="00F969C4">
        <w:rPr>
          <w:b/>
          <w:sz w:val="24"/>
          <w:lang w:val="fi-FI"/>
        </w:rPr>
        <w:t xml:space="preserve"> </w:t>
      </w:r>
    </w:p>
    <w:p w:rsidR="005F2C46" w:rsidRPr="00F969C4" w:rsidRDefault="005F2C46">
      <w:pPr>
        <w:jc w:val="center"/>
        <w:rPr>
          <w:i/>
          <w:sz w:val="22"/>
          <w:lang w:val="fi-FI"/>
        </w:rPr>
      </w:pPr>
    </w:p>
    <w:p w:rsidR="000D1C63" w:rsidRDefault="00807BEF" w:rsidP="000D1C63">
      <w:pPr>
        <w:jc w:val="center"/>
        <w:rPr>
          <w:i/>
          <w:sz w:val="20"/>
        </w:rPr>
      </w:pPr>
      <w:r w:rsidRPr="00F969C4">
        <w:rPr>
          <w:i/>
          <w:sz w:val="20"/>
          <w:lang w:val="fi-FI"/>
        </w:rPr>
        <w:t xml:space="preserve"> </w:t>
      </w:r>
      <w:r w:rsidR="000D1C63">
        <w:rPr>
          <w:i/>
          <w:sz w:val="20"/>
          <w:vertAlign w:val="superscript"/>
        </w:rPr>
        <w:t>1</w:t>
      </w:r>
      <w:r w:rsidR="000D1C63">
        <w:rPr>
          <w:i/>
          <w:sz w:val="20"/>
        </w:rPr>
        <w:t>NMISA – National Metrology Institute of South Africa,</w:t>
      </w:r>
      <w:r w:rsidR="000D1C63" w:rsidRPr="00D13359">
        <w:rPr>
          <w:i/>
          <w:sz w:val="20"/>
        </w:rPr>
        <w:t xml:space="preserve"> </w:t>
      </w:r>
      <w:r w:rsidR="000D1C63">
        <w:rPr>
          <w:i/>
          <w:sz w:val="20"/>
        </w:rPr>
        <w:t>Private Bag X34 Lynnwood Ridge 0040</w:t>
      </w:r>
      <w:r w:rsidR="000D1C63" w:rsidRPr="00D13359">
        <w:rPr>
          <w:i/>
          <w:sz w:val="20"/>
        </w:rPr>
        <w:t xml:space="preserve">, </w:t>
      </w:r>
      <w:r w:rsidR="000D1C63">
        <w:rPr>
          <w:i/>
          <w:sz w:val="20"/>
        </w:rPr>
        <w:t>Pretoria</w:t>
      </w:r>
      <w:r w:rsidR="000D1C63" w:rsidRPr="00D13359">
        <w:rPr>
          <w:i/>
          <w:sz w:val="20"/>
        </w:rPr>
        <w:t xml:space="preserve">, </w:t>
      </w:r>
      <w:r w:rsidR="000D1C63">
        <w:rPr>
          <w:i/>
          <w:sz w:val="20"/>
        </w:rPr>
        <w:t>South Africa</w:t>
      </w:r>
    </w:p>
    <w:p w:rsidR="000D1C63" w:rsidRPr="00D13359" w:rsidRDefault="000D1C63" w:rsidP="000D1C63">
      <w:pPr>
        <w:jc w:val="center"/>
        <w:rPr>
          <w:i/>
          <w:sz w:val="20"/>
        </w:rPr>
      </w:pPr>
      <w:r>
        <w:rPr>
          <w:i/>
          <w:sz w:val="20"/>
          <w:vertAlign w:val="superscript"/>
        </w:rPr>
        <w:t>2</w:t>
      </w:r>
      <w:r w:rsidRPr="00D004FE">
        <w:rPr>
          <w:i/>
          <w:sz w:val="20"/>
        </w:rPr>
        <w:t>VT</w:t>
      </w:r>
      <w:r>
        <w:rPr>
          <w:i/>
          <w:sz w:val="20"/>
        </w:rPr>
        <w:t>T Technical Research Centre Ltd., Centre for Metrology MIKES,</w:t>
      </w:r>
      <w:r w:rsidRPr="00D13359">
        <w:rPr>
          <w:i/>
          <w:sz w:val="20"/>
        </w:rPr>
        <w:t xml:space="preserve"> </w:t>
      </w:r>
      <w:r>
        <w:rPr>
          <w:i/>
          <w:sz w:val="20"/>
        </w:rPr>
        <w:t>Espoo</w:t>
      </w:r>
      <w:r w:rsidRPr="00D13359">
        <w:rPr>
          <w:i/>
          <w:sz w:val="20"/>
        </w:rPr>
        <w:t xml:space="preserve">, </w:t>
      </w:r>
      <w:r>
        <w:rPr>
          <w:i/>
          <w:sz w:val="20"/>
        </w:rPr>
        <w:t>Finland</w:t>
      </w:r>
    </w:p>
    <w:p w:rsidR="00D13359" w:rsidRPr="00D13359" w:rsidRDefault="000D1C63" w:rsidP="000D1C63">
      <w:pPr>
        <w:jc w:val="center"/>
        <w:rPr>
          <w:i/>
          <w:sz w:val="20"/>
        </w:rPr>
      </w:pPr>
      <w:r w:rsidRPr="00D13359">
        <w:rPr>
          <w:i/>
          <w:sz w:val="20"/>
        </w:rPr>
        <w:t xml:space="preserve">E-mail (corresponding author): </w:t>
      </w:r>
      <w:hyperlink r:id="rId9" w:history="1">
        <w:r w:rsidR="00641536" w:rsidRPr="00867957">
          <w:rPr>
            <w:rStyle w:val="Hyperlink"/>
            <w:i/>
            <w:sz w:val="20"/>
          </w:rPr>
          <w:t>djonker@nmisa.org</w:t>
        </w:r>
      </w:hyperlink>
      <w:r w:rsidR="00641536">
        <w:rPr>
          <w:i/>
          <w:sz w:val="20"/>
        </w:rPr>
        <w:t>, Pretoria, South Africa</w:t>
      </w:r>
    </w:p>
    <w:p w:rsidR="005F2C46" w:rsidRDefault="00D602AE">
      <w:r>
        <w:pict>
          <v:rect id="_x0000_i1025" style="width:0;height:1.5pt" o:hralign="center" o:hrstd="t" o:hr="t" fillcolor="gray" stroked="f"/>
        </w:pict>
      </w:r>
    </w:p>
    <w:p w:rsidR="005F2C46" w:rsidRDefault="005F2C46" w:rsidP="00AB51F5">
      <w:pPr>
        <w:pStyle w:val="Heading1"/>
      </w:pPr>
      <w:r>
        <w:t>Abstract</w:t>
      </w:r>
    </w:p>
    <w:p w:rsidR="00AB51F5" w:rsidRPr="00AB51F5" w:rsidRDefault="00AB51F5" w:rsidP="00AB51F5"/>
    <w:p w:rsidR="003A696F" w:rsidRPr="003A696F" w:rsidRDefault="003A696F" w:rsidP="003A696F">
      <w:pPr>
        <w:jc w:val="both"/>
        <w:rPr>
          <w:sz w:val="20"/>
        </w:rPr>
      </w:pPr>
      <w:r w:rsidRPr="003A696F">
        <w:rPr>
          <w:sz w:val="20"/>
        </w:rPr>
        <w:t>The NMISA Flow laboratory is in the process of obtaining ISO/IEC 17025 accreditation. The laboratory is compelled to perform the majority of gas flow calibrations in South Africa, due to severely limited accredited gas flow calibration capacity in industry. This is resulting in unacceptable long lead times.</w:t>
      </w:r>
    </w:p>
    <w:p w:rsidR="003A696F" w:rsidRPr="003A696F" w:rsidRDefault="003A696F" w:rsidP="003A696F">
      <w:pPr>
        <w:jc w:val="both"/>
        <w:rPr>
          <w:sz w:val="20"/>
        </w:rPr>
      </w:pPr>
    </w:p>
    <w:p w:rsidR="003A696F" w:rsidRPr="003A696F" w:rsidRDefault="003A696F" w:rsidP="003A696F">
      <w:pPr>
        <w:jc w:val="both"/>
        <w:rPr>
          <w:sz w:val="20"/>
        </w:rPr>
      </w:pPr>
      <w:r w:rsidRPr="003A696F">
        <w:rPr>
          <w:sz w:val="20"/>
        </w:rPr>
        <w:t xml:space="preserve">The laboratory is equipped with a positive displacement piston prover as the highest-level standard. Traceability is obtained by sending this secondary standard to overseas National Metrology Institutes for calibration. The necessity of sending the reference standard overseas for regular re-calibration in order to maintain sufficient confidence in the reliability of the results, means an absence of about two months from the laboratory, creating a further impact on the  calibration lead times. Intermediate measurement checks are performed with flow cells overlapping in different flow ranges to prove reliability of the measurement results and compliance to the requirements of ISO\IEC 17025. A bilateral comparison was performed with the </w:t>
      </w:r>
      <w:r w:rsidR="00F969C4">
        <w:rPr>
          <w:sz w:val="20"/>
        </w:rPr>
        <w:t>VTT-</w:t>
      </w:r>
      <w:r w:rsidRPr="003A696F">
        <w:rPr>
          <w:sz w:val="20"/>
        </w:rPr>
        <w:t xml:space="preserve">MIKES Flow laboratory to validate the mass flow controller calibration method of NMISA, as well as to assess </w:t>
      </w:r>
      <w:proofErr w:type="spellStart"/>
      <w:r w:rsidRPr="003A696F">
        <w:rPr>
          <w:sz w:val="20"/>
        </w:rPr>
        <w:t>metrologist</w:t>
      </w:r>
      <w:proofErr w:type="spellEnd"/>
      <w:r w:rsidRPr="003A696F">
        <w:rPr>
          <w:sz w:val="20"/>
        </w:rPr>
        <w:t xml:space="preserve"> competence. </w:t>
      </w:r>
      <w:r w:rsidR="00F969C4">
        <w:rPr>
          <w:sz w:val="20"/>
        </w:rPr>
        <w:t>VTT-</w:t>
      </w:r>
      <w:r w:rsidRPr="003A696F">
        <w:rPr>
          <w:sz w:val="20"/>
        </w:rPr>
        <w:t>MIKES acted as the pilot laboratory.</w:t>
      </w:r>
    </w:p>
    <w:p w:rsidR="003A696F" w:rsidRPr="003A696F" w:rsidRDefault="003A696F" w:rsidP="003A696F">
      <w:pPr>
        <w:jc w:val="both"/>
        <w:rPr>
          <w:sz w:val="20"/>
        </w:rPr>
      </w:pPr>
    </w:p>
    <w:p w:rsidR="003A696F" w:rsidRPr="003A696F" w:rsidRDefault="003A696F" w:rsidP="003A696F">
      <w:pPr>
        <w:jc w:val="both"/>
        <w:rPr>
          <w:sz w:val="20"/>
        </w:rPr>
      </w:pPr>
      <w:r w:rsidRPr="003A696F">
        <w:rPr>
          <w:sz w:val="20"/>
        </w:rPr>
        <w:t>To address the long lead times, a set of laminar flow elements covering the flow range 0</w:t>
      </w:r>
      <w:r w:rsidR="00F969C4">
        <w:rPr>
          <w:sz w:val="20"/>
        </w:rPr>
        <w:t>.</w:t>
      </w:r>
      <w:r w:rsidRPr="003A696F">
        <w:rPr>
          <w:sz w:val="20"/>
        </w:rPr>
        <w:t>5 mL/min to 50</w:t>
      </w:r>
      <w:r w:rsidR="00F969C4">
        <w:rPr>
          <w:sz w:val="20"/>
        </w:rPr>
        <w:t xml:space="preserve"> 000</w:t>
      </w:r>
      <w:r w:rsidRPr="003A696F">
        <w:rPr>
          <w:sz w:val="20"/>
        </w:rPr>
        <w:t xml:space="preserve"> </w:t>
      </w:r>
      <w:r w:rsidR="00F969C4">
        <w:rPr>
          <w:sz w:val="20"/>
        </w:rPr>
        <w:t>m</w:t>
      </w:r>
      <w:r w:rsidRPr="003A696F">
        <w:rPr>
          <w:sz w:val="20"/>
        </w:rPr>
        <w:t xml:space="preserve">L/min, was purchased as another reference standard. Two reference standards in the laboratory will eliminate the situation of a two months absence of reference standards from the laboratory and will increase the calibration capacity of the laboratory.   </w:t>
      </w:r>
    </w:p>
    <w:p w:rsidR="003A696F" w:rsidRPr="003A696F" w:rsidRDefault="003A696F" w:rsidP="003A696F">
      <w:pPr>
        <w:jc w:val="both"/>
        <w:rPr>
          <w:sz w:val="20"/>
        </w:rPr>
      </w:pPr>
    </w:p>
    <w:p w:rsidR="003A696F" w:rsidRPr="003A696F" w:rsidRDefault="003A696F" w:rsidP="003A696F">
      <w:pPr>
        <w:jc w:val="both"/>
        <w:rPr>
          <w:sz w:val="20"/>
        </w:rPr>
      </w:pPr>
      <w:r w:rsidRPr="003A696F">
        <w:rPr>
          <w:sz w:val="20"/>
        </w:rPr>
        <w:t xml:space="preserve">This paper gives an overview of the NMISA Flow laboratory, the progress made towards ISO\IEC 17025 accreditation and discusses the bilateral comparison; artefacts used, method employed, and measurement results. Future developments planned for the laboratory are also discussed.     </w:t>
      </w:r>
    </w:p>
    <w:p w:rsidR="005F2C46" w:rsidRDefault="00D602AE">
      <w:r>
        <w:pict>
          <v:rect id="_x0000_i1026" style="width:0;height:1.5pt" o:hralign="center" o:hrstd="t" o:hr="t" fillcolor="gray" stroked="f"/>
        </w:pict>
      </w:r>
    </w:p>
    <w:p w:rsidR="00EA6110" w:rsidRDefault="00EA6110">
      <w:pPr>
        <w:sectPr w:rsidR="00EA6110" w:rsidSect="00A86C33">
          <w:footerReference w:type="default" r:id="rId10"/>
          <w:pgSz w:w="11906" w:h="16838"/>
          <w:pgMar w:top="1440" w:right="1077" w:bottom="1440" w:left="1077" w:header="720" w:footer="720" w:gutter="0"/>
          <w:cols w:space="720"/>
        </w:sectPr>
      </w:pPr>
    </w:p>
    <w:p w:rsidR="005F2C46" w:rsidRDefault="005F2C46">
      <w:pPr>
        <w:pStyle w:val="BodyText"/>
      </w:pPr>
    </w:p>
    <w:p w:rsidR="005F2C46" w:rsidRDefault="005F2C46">
      <w:pPr>
        <w:pStyle w:val="Heading1"/>
      </w:pPr>
      <w:r>
        <w:t>1. Introduction</w:t>
      </w:r>
    </w:p>
    <w:p w:rsidR="005F2C46" w:rsidRDefault="005F2C46">
      <w:pPr>
        <w:pStyle w:val="BodyText"/>
      </w:pPr>
    </w:p>
    <w:p w:rsidR="00815B8E" w:rsidRDefault="0010502A">
      <w:pPr>
        <w:pStyle w:val="BodyText"/>
      </w:pPr>
      <w:r>
        <w:t>NMISA, the National Metrology Institute of South Africa, is mandated to provide</w:t>
      </w:r>
      <w:r w:rsidR="002E7BC8">
        <w:t xml:space="preserve"> </w:t>
      </w:r>
      <w:r w:rsidR="00B53673">
        <w:t>measurement traceability</w:t>
      </w:r>
      <w:r w:rsidR="002E7BC8">
        <w:t xml:space="preserve"> to the South African industry.</w:t>
      </w:r>
      <w:r w:rsidR="0095398A">
        <w:t xml:space="preserve"> </w:t>
      </w:r>
      <w:r w:rsidR="0099404D">
        <w:t>The majority of g</w:t>
      </w:r>
      <w:r w:rsidR="0095398A">
        <w:t>as flow calibrations</w:t>
      </w:r>
      <w:r w:rsidR="0099404D">
        <w:t xml:space="preserve"> for the South African industry </w:t>
      </w:r>
      <w:r w:rsidR="0095398A">
        <w:t>are currently performed by</w:t>
      </w:r>
      <w:r w:rsidR="0099404D">
        <w:t xml:space="preserve"> the NMISA gas flow laboratory and one other ISO</w:t>
      </w:r>
      <w:r w:rsidR="00755025">
        <w:t>/IEC</w:t>
      </w:r>
      <w:r w:rsidR="0099404D">
        <w:t xml:space="preserve"> 17025 accredited laboratory.  This limited accredited gas flow calibration capacity in industry results in long calibration lead times.</w:t>
      </w:r>
    </w:p>
    <w:p w:rsidR="00815B8E" w:rsidRDefault="00815B8E">
      <w:pPr>
        <w:pStyle w:val="BodyText"/>
      </w:pPr>
    </w:p>
    <w:p w:rsidR="006D49A0" w:rsidRDefault="00815B8E">
      <w:pPr>
        <w:pStyle w:val="BodyText"/>
      </w:pPr>
      <w:r>
        <w:t>A first priority for the NMISA gas flow laboratory was to obtain ISO</w:t>
      </w:r>
      <w:r w:rsidR="00755025">
        <w:t>/IEC</w:t>
      </w:r>
      <w:r>
        <w:t xml:space="preserve"> 17025 accreditation.</w:t>
      </w:r>
      <w:r w:rsidR="00A27EDD">
        <w:t xml:space="preserve"> The gas flow laboratory of </w:t>
      </w:r>
      <w:r w:rsidR="00F969C4">
        <w:t>VTT-</w:t>
      </w:r>
      <w:r w:rsidR="00A27EDD">
        <w:t>M</w:t>
      </w:r>
      <w:r w:rsidR="00F969C4">
        <w:t>IKES</w:t>
      </w:r>
      <w:r w:rsidR="00E32B25">
        <w:t xml:space="preserve"> </w:t>
      </w:r>
      <w:r w:rsidR="00A22A85">
        <w:t>agreed</w:t>
      </w:r>
      <w:r w:rsidR="00430EA9">
        <w:t xml:space="preserve"> to act as</w:t>
      </w:r>
      <w:r w:rsidR="00A1052B">
        <w:t xml:space="preserve"> the reference laboratory for a bilateral comparison using four mass flow controllers as comparison artefacts.</w:t>
      </w:r>
    </w:p>
    <w:p w:rsidR="006D49A0" w:rsidRDefault="006D49A0">
      <w:pPr>
        <w:pStyle w:val="BodyText"/>
      </w:pPr>
    </w:p>
    <w:p w:rsidR="006D49A0" w:rsidRDefault="00FB55A9">
      <w:pPr>
        <w:pStyle w:val="BodyText"/>
      </w:pPr>
      <w:r>
        <w:t>A</w:t>
      </w:r>
      <w:r w:rsidR="00163358">
        <w:t xml:space="preserve"> second priority was to obtain a second secondary reference standard.</w:t>
      </w:r>
      <w:r w:rsidR="00EF5D9B">
        <w:t xml:space="preserve"> Using s</w:t>
      </w:r>
      <w:r w:rsidR="00163358">
        <w:t>econdary standards as reference standards</w:t>
      </w:r>
      <w:r w:rsidR="00EF5D9B">
        <w:t xml:space="preserve"> in the laboratory, therefore importing traceability from other overse</w:t>
      </w:r>
      <w:r w:rsidR="005415D9">
        <w:t>a</w:t>
      </w:r>
      <w:r w:rsidR="00EF5D9B">
        <w:t>s National Metrology Institutes</w:t>
      </w:r>
      <w:r w:rsidR="00614586">
        <w:t xml:space="preserve"> (NMI</w:t>
      </w:r>
      <w:r w:rsidR="00B64E8F">
        <w:t>s</w:t>
      </w:r>
      <w:r w:rsidR="00614586">
        <w:t>)</w:t>
      </w:r>
      <w:r w:rsidR="00616880">
        <w:t xml:space="preserve">, </w:t>
      </w:r>
      <w:r w:rsidR="00EF5D9B">
        <w:t xml:space="preserve">necessitates the </w:t>
      </w:r>
      <w:r w:rsidR="00614586">
        <w:t>calibration of the standard</w:t>
      </w:r>
      <w:r w:rsidR="00681323">
        <w:t>s</w:t>
      </w:r>
      <w:r w:rsidR="00614586">
        <w:t xml:space="preserve"> at an overse</w:t>
      </w:r>
      <w:r w:rsidR="005415D9">
        <w:t>a</w:t>
      </w:r>
      <w:r w:rsidR="00614586">
        <w:t xml:space="preserve">s NMI. This results in </w:t>
      </w:r>
      <w:r w:rsidR="00B64E8F">
        <w:t xml:space="preserve">a </w:t>
      </w:r>
      <w:r w:rsidR="00B64E8F">
        <w:lastRenderedPageBreak/>
        <w:t>reference standard</w:t>
      </w:r>
      <w:r w:rsidR="00AE6E01">
        <w:t>’s</w:t>
      </w:r>
      <w:r w:rsidR="00B64E8F">
        <w:t xml:space="preserve"> </w:t>
      </w:r>
      <w:r w:rsidR="00614586">
        <w:t xml:space="preserve">absence from the laboratory </w:t>
      </w:r>
      <w:r w:rsidR="006A452E">
        <w:t>for</w:t>
      </w:r>
      <w:r w:rsidR="00614586">
        <w:t xml:space="preserve"> approximately two months. </w:t>
      </w:r>
      <w:r w:rsidR="006A452E">
        <w:t>Having t</w:t>
      </w:r>
      <w:r w:rsidR="00614586">
        <w:t>wo reference standards in the laboratory solve</w:t>
      </w:r>
      <w:r w:rsidR="006A452E">
        <w:t>s</w:t>
      </w:r>
      <w:r w:rsidR="00614586">
        <w:t xml:space="preserve"> this problem.</w:t>
      </w:r>
    </w:p>
    <w:p w:rsidR="005F2C46" w:rsidRDefault="005F2C46">
      <w:pPr>
        <w:pStyle w:val="BodyText"/>
      </w:pPr>
    </w:p>
    <w:p w:rsidR="00177171" w:rsidRDefault="005F2C46" w:rsidP="00B81D99">
      <w:pPr>
        <w:pStyle w:val="Heading1"/>
      </w:pPr>
      <w:r>
        <w:t xml:space="preserve">2. </w:t>
      </w:r>
      <w:r w:rsidR="00177171">
        <w:t xml:space="preserve">The NMISA </w:t>
      </w:r>
      <w:r w:rsidR="00AF6DA5">
        <w:t>g</w:t>
      </w:r>
      <w:r w:rsidR="00177171">
        <w:t xml:space="preserve">as </w:t>
      </w:r>
      <w:r w:rsidR="00AF6DA5">
        <w:t>f</w:t>
      </w:r>
      <w:r w:rsidR="00177171">
        <w:t xml:space="preserve">low </w:t>
      </w:r>
      <w:r w:rsidR="00AF6DA5">
        <w:t>l</w:t>
      </w:r>
      <w:r w:rsidR="00177171">
        <w:t>aboratory</w:t>
      </w:r>
    </w:p>
    <w:p w:rsidR="006562F0" w:rsidRDefault="006562F0" w:rsidP="00177171">
      <w:pPr>
        <w:rPr>
          <w:sz w:val="20"/>
        </w:rPr>
      </w:pPr>
    </w:p>
    <w:p w:rsidR="00112C72" w:rsidRDefault="00112C72" w:rsidP="00BD5349">
      <w:pPr>
        <w:jc w:val="both"/>
        <w:rPr>
          <w:sz w:val="20"/>
        </w:rPr>
      </w:pPr>
      <w:r w:rsidRPr="00112C72">
        <w:rPr>
          <w:sz w:val="20"/>
        </w:rPr>
        <w:t>The gas flow laboratory is part of the Flow Section in the Physical Metrology group.</w:t>
      </w:r>
      <w:r w:rsidR="00581FC0">
        <w:rPr>
          <w:sz w:val="20"/>
        </w:rPr>
        <w:t xml:space="preserve"> G</w:t>
      </w:r>
      <w:r w:rsidRPr="00112C72">
        <w:rPr>
          <w:sz w:val="20"/>
        </w:rPr>
        <w:t>as flow</w:t>
      </w:r>
      <w:r w:rsidR="008C76BC">
        <w:rPr>
          <w:sz w:val="20"/>
        </w:rPr>
        <w:t xml:space="preserve"> (volume gas flow)</w:t>
      </w:r>
      <w:r w:rsidRPr="00112C72">
        <w:rPr>
          <w:sz w:val="20"/>
        </w:rPr>
        <w:t xml:space="preserve"> calibration services are offered</w:t>
      </w:r>
      <w:r w:rsidR="00581FC0">
        <w:rPr>
          <w:sz w:val="20"/>
        </w:rPr>
        <w:t xml:space="preserve"> in the </w:t>
      </w:r>
      <w:r w:rsidRPr="00112C72">
        <w:rPr>
          <w:sz w:val="20"/>
        </w:rPr>
        <w:t>flow range 5</w:t>
      </w:r>
      <w:r w:rsidR="00F969C4">
        <w:rPr>
          <w:sz w:val="20"/>
        </w:rPr>
        <w:t>.</w:t>
      </w:r>
      <w:r w:rsidRPr="00112C72">
        <w:rPr>
          <w:sz w:val="20"/>
        </w:rPr>
        <w:t>0 m</w:t>
      </w:r>
      <w:r w:rsidR="00BB07FE">
        <w:rPr>
          <w:sz w:val="20"/>
        </w:rPr>
        <w:t>L</w:t>
      </w:r>
      <w:r w:rsidRPr="00112C72">
        <w:rPr>
          <w:sz w:val="20"/>
        </w:rPr>
        <w:t>/min to 50 000 m</w:t>
      </w:r>
      <w:r w:rsidR="00BB07FE">
        <w:rPr>
          <w:sz w:val="20"/>
        </w:rPr>
        <w:t>L</w:t>
      </w:r>
      <w:r w:rsidRPr="00112C72">
        <w:rPr>
          <w:sz w:val="20"/>
        </w:rPr>
        <w:t xml:space="preserve">/min. Nitrogen gas is used as the </w:t>
      </w:r>
      <w:r w:rsidR="00E76D6D">
        <w:rPr>
          <w:sz w:val="20"/>
        </w:rPr>
        <w:t>calibration</w:t>
      </w:r>
      <w:r w:rsidRPr="00112C72">
        <w:rPr>
          <w:sz w:val="20"/>
        </w:rPr>
        <w:t xml:space="preserve"> medium.</w:t>
      </w:r>
      <w:r w:rsidR="00150189" w:rsidRPr="00150189">
        <w:rPr>
          <w:sz w:val="20"/>
        </w:rPr>
        <w:t xml:space="preserve"> </w:t>
      </w:r>
      <w:r w:rsidR="00150189">
        <w:rPr>
          <w:sz w:val="20"/>
        </w:rPr>
        <w:t>Environmental conditions are monitored by a barometer and temperature- and humidity loggers.</w:t>
      </w:r>
      <w:r w:rsidR="00536611">
        <w:rPr>
          <w:sz w:val="20"/>
        </w:rPr>
        <w:t xml:space="preserve"> </w:t>
      </w:r>
      <w:r w:rsidRPr="00112C72">
        <w:rPr>
          <w:sz w:val="20"/>
        </w:rPr>
        <w:t>Typical instruments received for calibration include mass flow controllers, mass flow meters, bubble flow meters and rotameters.</w:t>
      </w:r>
    </w:p>
    <w:p w:rsidR="00112C72" w:rsidRDefault="00112C72" w:rsidP="00BD5349">
      <w:pPr>
        <w:jc w:val="both"/>
        <w:rPr>
          <w:sz w:val="20"/>
        </w:rPr>
      </w:pPr>
    </w:p>
    <w:p w:rsidR="00B014CD" w:rsidRDefault="00112C72" w:rsidP="00BD5349">
      <w:pPr>
        <w:jc w:val="both"/>
        <w:rPr>
          <w:sz w:val="20"/>
        </w:rPr>
      </w:pPr>
      <w:r w:rsidRPr="00112C72">
        <w:rPr>
          <w:sz w:val="20"/>
        </w:rPr>
        <w:t xml:space="preserve">The gas flow laboratory is equipped with </w:t>
      </w:r>
      <w:r w:rsidR="008C76BC">
        <w:rPr>
          <w:sz w:val="20"/>
        </w:rPr>
        <w:t>two secondary reference gas flow standards</w:t>
      </w:r>
      <w:r w:rsidR="00AE7811">
        <w:rPr>
          <w:sz w:val="20"/>
        </w:rPr>
        <w:t xml:space="preserve"> as highest-level standards</w:t>
      </w:r>
      <w:r w:rsidR="008C76BC">
        <w:rPr>
          <w:sz w:val="20"/>
        </w:rPr>
        <w:t xml:space="preserve">, a Bios ML-800 positive displacement </w:t>
      </w:r>
      <w:r w:rsidR="00370162">
        <w:rPr>
          <w:sz w:val="20"/>
        </w:rPr>
        <w:t xml:space="preserve">piston </w:t>
      </w:r>
      <w:r w:rsidR="008C76BC">
        <w:rPr>
          <w:sz w:val="20"/>
        </w:rPr>
        <w:t xml:space="preserve">prover and Fluke </w:t>
      </w:r>
      <w:proofErr w:type="spellStart"/>
      <w:r w:rsidR="008C76BC">
        <w:rPr>
          <w:sz w:val="20"/>
        </w:rPr>
        <w:t>molbloc</w:t>
      </w:r>
      <w:proofErr w:type="spellEnd"/>
      <w:r w:rsidR="008C76BC">
        <w:rPr>
          <w:sz w:val="20"/>
        </w:rPr>
        <w:t>-L laminar flow elements</w:t>
      </w:r>
      <w:r w:rsidR="00150189">
        <w:rPr>
          <w:sz w:val="20"/>
        </w:rPr>
        <w:t xml:space="preserve"> (LFE)</w:t>
      </w:r>
      <w:r w:rsidR="00AE7811">
        <w:rPr>
          <w:sz w:val="20"/>
        </w:rPr>
        <w:t>.</w:t>
      </w:r>
      <w:r w:rsidR="00681323">
        <w:rPr>
          <w:sz w:val="20"/>
        </w:rPr>
        <w:t xml:space="preserve"> As the laboratory is not equipped with a primary gas flow standard, the secondary reference standards are calibrated by overse</w:t>
      </w:r>
      <w:r w:rsidR="002A2C07">
        <w:rPr>
          <w:sz w:val="20"/>
        </w:rPr>
        <w:t>a</w:t>
      </w:r>
      <w:r w:rsidR="00681323">
        <w:rPr>
          <w:sz w:val="20"/>
        </w:rPr>
        <w:t>s National Metrology Institutes</w:t>
      </w:r>
      <w:r w:rsidR="002821DD">
        <w:rPr>
          <w:sz w:val="20"/>
        </w:rPr>
        <w:t xml:space="preserve"> with relevant calibration and measurement capabilities </w:t>
      </w:r>
      <w:r w:rsidR="002821DD">
        <w:rPr>
          <w:sz w:val="20"/>
        </w:rPr>
        <w:lastRenderedPageBreak/>
        <w:t>(CMCs) in the BIPM key comparison database (KCDB).</w:t>
      </w:r>
      <w:r w:rsidR="00681323">
        <w:rPr>
          <w:sz w:val="20"/>
        </w:rPr>
        <w:t xml:space="preserve"> Traceability</w:t>
      </w:r>
      <w:r w:rsidR="009A0084">
        <w:rPr>
          <w:sz w:val="20"/>
        </w:rPr>
        <w:t xml:space="preserve"> to</w:t>
      </w:r>
      <w:r w:rsidR="002A2C07">
        <w:rPr>
          <w:sz w:val="20"/>
        </w:rPr>
        <w:t xml:space="preserve"> i</w:t>
      </w:r>
      <w:r w:rsidR="009A0084">
        <w:rPr>
          <w:sz w:val="20"/>
        </w:rPr>
        <w:t>nternational standards</w:t>
      </w:r>
      <w:r w:rsidR="00681323">
        <w:rPr>
          <w:sz w:val="20"/>
        </w:rPr>
        <w:t xml:space="preserve"> is therefore imported from these NMIs.</w:t>
      </w:r>
    </w:p>
    <w:p w:rsidR="00F62060" w:rsidRDefault="00F62060">
      <w:pPr>
        <w:pStyle w:val="BodyText"/>
        <w:rPr>
          <w:i/>
        </w:rPr>
      </w:pPr>
    </w:p>
    <w:p w:rsidR="005F2C46" w:rsidRDefault="005F2C46">
      <w:pPr>
        <w:pStyle w:val="Heading1"/>
      </w:pPr>
      <w:r>
        <w:t xml:space="preserve">3. </w:t>
      </w:r>
      <w:r w:rsidR="004201FF">
        <w:t>Road to accreditation</w:t>
      </w:r>
    </w:p>
    <w:p w:rsidR="00AB51F5" w:rsidRDefault="00AB51F5" w:rsidP="00AB51F5">
      <w:pPr>
        <w:pStyle w:val="BodyText"/>
      </w:pPr>
    </w:p>
    <w:p w:rsidR="005C2741" w:rsidRDefault="001418E3" w:rsidP="00AB51F5">
      <w:pPr>
        <w:pStyle w:val="BodyText"/>
      </w:pPr>
      <w:r>
        <w:t xml:space="preserve">The first step was </w:t>
      </w:r>
      <w:r w:rsidR="00382BE9">
        <w:t xml:space="preserve">the </w:t>
      </w:r>
      <w:r>
        <w:t>implementation of</w:t>
      </w:r>
      <w:r w:rsidR="00382BE9">
        <w:t xml:space="preserve"> a quality system</w:t>
      </w:r>
      <w:r>
        <w:t xml:space="preserve"> </w:t>
      </w:r>
      <w:r w:rsidR="00382BE9">
        <w:t>in the laboratory which adhere</w:t>
      </w:r>
      <w:r w:rsidR="001438E0">
        <w:t>s</w:t>
      </w:r>
      <w:r w:rsidR="00382BE9">
        <w:t xml:space="preserve"> to the overall NMISA Total Quality Management System based on the </w:t>
      </w:r>
      <w:r w:rsidR="001438E0">
        <w:t>requirements</w:t>
      </w:r>
      <w:r w:rsidR="00382BE9">
        <w:t xml:space="preserve"> of</w:t>
      </w:r>
      <w:r w:rsidR="001438E0">
        <w:t xml:space="preserve"> the </w:t>
      </w:r>
      <w:r w:rsidR="00382BE9">
        <w:t>ISO/IEC 17025</w:t>
      </w:r>
      <w:r w:rsidR="001438E0">
        <w:t xml:space="preserve"> standard</w:t>
      </w:r>
      <w:r w:rsidR="00382BE9">
        <w:t>.</w:t>
      </w:r>
    </w:p>
    <w:p w:rsidR="005C2741" w:rsidRDefault="005C2741" w:rsidP="00AB51F5">
      <w:pPr>
        <w:pStyle w:val="BodyText"/>
      </w:pPr>
    </w:p>
    <w:p w:rsidR="005C2741" w:rsidRDefault="00BA5637" w:rsidP="00AB51F5">
      <w:pPr>
        <w:pStyle w:val="BodyText"/>
      </w:pPr>
      <w:r>
        <w:t>Secondly a laboratory comparison had to be performed with an overse</w:t>
      </w:r>
      <w:r w:rsidR="00906B86">
        <w:t>a</w:t>
      </w:r>
      <w:r>
        <w:t xml:space="preserve">s National Metrology Institute (NMI) over the </w:t>
      </w:r>
      <w:r w:rsidR="00EB0522">
        <w:t>required flow range (5</w:t>
      </w:r>
      <w:r w:rsidR="00F969C4">
        <w:t>.</w:t>
      </w:r>
      <w:r w:rsidR="00EB0522">
        <w:t>0 m</w:t>
      </w:r>
      <w:r w:rsidR="0009611D">
        <w:t>L</w:t>
      </w:r>
      <w:r w:rsidR="00EB0522">
        <w:t xml:space="preserve">/min to </w:t>
      </w:r>
      <w:r w:rsidR="00157394">
        <w:br/>
      </w:r>
      <w:r w:rsidR="00EB0522">
        <w:t xml:space="preserve">50 000 </w:t>
      </w:r>
      <w:r w:rsidR="0009611D">
        <w:t>mL</w:t>
      </w:r>
      <w:r w:rsidR="00EB0522">
        <w:t>/min) to support the laboratory’s proposed calibration and measurement capabilities (CMC</w:t>
      </w:r>
      <w:r w:rsidR="006D0690">
        <w:t>s</w:t>
      </w:r>
      <w:r w:rsidR="00EB0522">
        <w:t>).</w:t>
      </w:r>
    </w:p>
    <w:p w:rsidR="005C2741" w:rsidRDefault="005C2741" w:rsidP="00AB51F5">
      <w:pPr>
        <w:pStyle w:val="BodyText"/>
      </w:pPr>
    </w:p>
    <w:p w:rsidR="005C2741" w:rsidRDefault="00EB0522" w:rsidP="00AB51F5">
      <w:pPr>
        <w:pStyle w:val="BodyText"/>
      </w:pPr>
      <w:r>
        <w:t xml:space="preserve">Thirdly the </w:t>
      </w:r>
      <w:proofErr w:type="spellStart"/>
      <w:r>
        <w:t>metrologists</w:t>
      </w:r>
      <w:proofErr w:type="spellEnd"/>
      <w:r>
        <w:t xml:space="preserve"> had to register </w:t>
      </w:r>
      <w:r w:rsidR="00285D51">
        <w:t>with</w:t>
      </w:r>
      <w:r>
        <w:t xml:space="preserve"> the NLA</w:t>
      </w:r>
      <w:r w:rsidR="005C2741">
        <w:t xml:space="preserve"> (National Laboratory A</w:t>
      </w:r>
      <w:r w:rsidR="00DD5E60">
        <w:t>ssociation</w:t>
      </w:r>
      <w:r w:rsidR="005C2741">
        <w:t>)</w:t>
      </w:r>
      <w:r>
        <w:t xml:space="preserve"> </w:t>
      </w:r>
      <w:proofErr w:type="spellStart"/>
      <w:r>
        <w:t>MetCert</w:t>
      </w:r>
      <w:proofErr w:type="spellEnd"/>
      <w:r w:rsidR="00285D51">
        <w:t xml:space="preserve"> personnel certification</w:t>
      </w:r>
      <w:r>
        <w:t xml:space="preserve"> scheme</w:t>
      </w:r>
      <w:r w:rsidR="005C2741">
        <w:t xml:space="preserve"> as </w:t>
      </w:r>
      <w:proofErr w:type="spellStart"/>
      <w:r w:rsidR="005C2741">
        <w:t>metrologists</w:t>
      </w:r>
      <w:proofErr w:type="spellEnd"/>
      <w:r>
        <w:t xml:space="preserve"> or at </w:t>
      </w:r>
      <w:r w:rsidR="005C2741">
        <w:t xml:space="preserve">the South African Council </w:t>
      </w:r>
      <w:proofErr w:type="gramStart"/>
      <w:r w:rsidR="00DD5E60">
        <w:t>for</w:t>
      </w:r>
      <w:r w:rsidR="00225E99">
        <w:t xml:space="preserve"> </w:t>
      </w:r>
      <w:r w:rsidR="005C2741">
        <w:t xml:space="preserve"> Natural</w:t>
      </w:r>
      <w:proofErr w:type="gramEnd"/>
      <w:r w:rsidR="005C2741">
        <w:t xml:space="preserve"> Scien</w:t>
      </w:r>
      <w:r w:rsidR="00DD5E60">
        <w:t>tific Professions</w:t>
      </w:r>
      <w:r w:rsidR="005C2741">
        <w:t xml:space="preserve"> (SACNS</w:t>
      </w:r>
      <w:r w:rsidR="00DD5E60">
        <w:t>P</w:t>
      </w:r>
      <w:r w:rsidR="005C2741">
        <w:t xml:space="preserve">) as scientists. This is a requirement implemented by SANAS (South African National Accreditation System). </w:t>
      </w:r>
      <w:r w:rsidR="009A35EC">
        <w:t>Registration at one</w:t>
      </w:r>
      <w:r w:rsidR="005C2741">
        <w:t xml:space="preserve"> of these two registration bodies</w:t>
      </w:r>
      <w:r w:rsidR="009A35EC">
        <w:t xml:space="preserve"> is compulsory to be </w:t>
      </w:r>
      <w:r w:rsidR="00E471C6">
        <w:t>approved as</w:t>
      </w:r>
      <w:r w:rsidR="00285D51">
        <w:t xml:space="preserve"> a</w:t>
      </w:r>
      <w:r w:rsidR="00E471C6">
        <w:t xml:space="preserve"> </w:t>
      </w:r>
      <w:r w:rsidR="005C2741">
        <w:t>Technical Signatory</w:t>
      </w:r>
      <w:r w:rsidR="008806DA">
        <w:t xml:space="preserve"> by SANAS</w:t>
      </w:r>
      <w:r w:rsidR="005C2741">
        <w:t>.</w:t>
      </w:r>
    </w:p>
    <w:p w:rsidR="005C2741" w:rsidRDefault="005C2741" w:rsidP="00AB51F5">
      <w:pPr>
        <w:pStyle w:val="BodyText"/>
      </w:pPr>
    </w:p>
    <w:p w:rsidR="00AB51F5" w:rsidRDefault="005841EF" w:rsidP="00AB51F5">
      <w:pPr>
        <w:pStyle w:val="BodyText"/>
      </w:pPr>
      <w:r>
        <w:t xml:space="preserve">The NMISA gas flow laboratory </w:t>
      </w:r>
      <w:r w:rsidR="0083440B">
        <w:t xml:space="preserve">implemented the required quality system, participated in a bilateral comparison with </w:t>
      </w:r>
      <w:r w:rsidR="00F969C4">
        <w:t>VTT-</w:t>
      </w:r>
      <w:r w:rsidR="0083440B">
        <w:t xml:space="preserve">MIKES and the </w:t>
      </w:r>
      <w:proofErr w:type="spellStart"/>
      <w:r w:rsidR="0083440B">
        <w:t>metrologists</w:t>
      </w:r>
      <w:proofErr w:type="spellEnd"/>
      <w:r w:rsidR="0083440B">
        <w:t xml:space="preserve"> were registered as </w:t>
      </w:r>
      <w:proofErr w:type="spellStart"/>
      <w:r w:rsidR="0083440B">
        <w:t>metrologists</w:t>
      </w:r>
      <w:proofErr w:type="spellEnd"/>
      <w:r w:rsidR="0083440B">
        <w:t xml:space="preserve"> </w:t>
      </w:r>
      <w:r w:rsidR="00831EB6">
        <w:t>through</w:t>
      </w:r>
      <w:r w:rsidR="0083440B">
        <w:t xml:space="preserve"> the </w:t>
      </w:r>
      <w:proofErr w:type="spellStart"/>
      <w:r w:rsidR="0083440B">
        <w:t>MetCert</w:t>
      </w:r>
      <w:proofErr w:type="spellEnd"/>
      <w:r w:rsidR="0083440B">
        <w:t xml:space="preserve"> scheme.</w:t>
      </w:r>
      <w:r>
        <w:t xml:space="preserve"> </w:t>
      </w:r>
      <w:r w:rsidR="0083440B">
        <w:t>T</w:t>
      </w:r>
      <w:r>
        <w:t xml:space="preserve">he </w:t>
      </w:r>
      <w:r w:rsidR="00285D51">
        <w:t xml:space="preserve">gas flow </w:t>
      </w:r>
      <w:r>
        <w:t xml:space="preserve">laboratory </w:t>
      </w:r>
      <w:r w:rsidR="00285D51">
        <w:t xml:space="preserve">underwent an initial assessment by SANAS </w:t>
      </w:r>
      <w:r>
        <w:t>on 2</w:t>
      </w:r>
      <w:r w:rsidR="00610788">
        <w:t>2</w:t>
      </w:r>
      <w:r>
        <w:t xml:space="preserve"> &amp; 2</w:t>
      </w:r>
      <w:r w:rsidR="00610788">
        <w:t>3</w:t>
      </w:r>
      <w:r>
        <w:t xml:space="preserve"> March 2016</w:t>
      </w:r>
      <w:r w:rsidR="00906B86">
        <w:t xml:space="preserve">. An international expert </w:t>
      </w:r>
      <w:r w:rsidR="001B00B2">
        <w:t xml:space="preserve">was employed </w:t>
      </w:r>
      <w:r w:rsidR="00906B86">
        <w:t>as technical assessor</w:t>
      </w:r>
      <w:r>
        <w:t>.</w:t>
      </w:r>
      <w:r w:rsidR="001E42C2">
        <w:t xml:space="preserve"> </w:t>
      </w:r>
      <w:r w:rsidR="00CD5126">
        <w:t>The laboratory received a positive recommendation for accreditation p</w:t>
      </w:r>
      <w:r w:rsidR="001E42C2">
        <w:t xml:space="preserve">ending the </w:t>
      </w:r>
      <w:r w:rsidR="00CD5126">
        <w:t xml:space="preserve">successful </w:t>
      </w:r>
      <w:r w:rsidR="001E42C2">
        <w:t>clearance of the non-conformances</w:t>
      </w:r>
      <w:r w:rsidR="00CD5126">
        <w:t xml:space="preserve"> identified.</w:t>
      </w:r>
      <w:r w:rsidR="00815774">
        <w:t xml:space="preserve"> </w:t>
      </w:r>
    </w:p>
    <w:p w:rsidR="005F2C46" w:rsidRDefault="005F2C46">
      <w:pPr>
        <w:pStyle w:val="BodyText"/>
      </w:pPr>
    </w:p>
    <w:p w:rsidR="005F2C46" w:rsidRDefault="002A73B9">
      <w:pPr>
        <w:pStyle w:val="Heading1"/>
      </w:pPr>
      <w:r>
        <w:t xml:space="preserve">4. </w:t>
      </w:r>
      <w:r w:rsidR="00295D4A">
        <w:t xml:space="preserve">MIKES – NMISA </w:t>
      </w:r>
      <w:r w:rsidR="00614634">
        <w:t>b</w:t>
      </w:r>
      <w:r w:rsidR="00295D4A">
        <w:t xml:space="preserve">ilateral </w:t>
      </w:r>
      <w:r w:rsidR="00614634">
        <w:t>c</w:t>
      </w:r>
      <w:r w:rsidR="00295D4A">
        <w:t>omparison</w:t>
      </w:r>
    </w:p>
    <w:p w:rsidR="00295D4A" w:rsidRDefault="00295D4A" w:rsidP="00295D4A"/>
    <w:p w:rsidR="00295D4A" w:rsidRDefault="00295D4A" w:rsidP="00295D4A">
      <w:pPr>
        <w:pStyle w:val="BodyText"/>
        <w:rPr>
          <w:i/>
        </w:rPr>
      </w:pPr>
      <w:r>
        <w:rPr>
          <w:i/>
        </w:rPr>
        <w:t>4</w:t>
      </w:r>
      <w:r w:rsidRPr="00F62060">
        <w:rPr>
          <w:i/>
        </w:rPr>
        <w:t>.1</w:t>
      </w:r>
      <w:r>
        <w:rPr>
          <w:i/>
        </w:rPr>
        <w:t xml:space="preserve"> Compariso</w:t>
      </w:r>
      <w:r w:rsidR="00B0320F">
        <w:rPr>
          <w:i/>
        </w:rPr>
        <w:t xml:space="preserve">n </w:t>
      </w:r>
      <w:r>
        <w:rPr>
          <w:i/>
        </w:rPr>
        <w:t>arrangements</w:t>
      </w:r>
    </w:p>
    <w:p w:rsidR="006F1A64" w:rsidRDefault="006B43E9" w:rsidP="002A73B9">
      <w:pPr>
        <w:pStyle w:val="BodyText"/>
      </w:pPr>
      <w:r>
        <w:t>Four MKS mass flow controllers</w:t>
      </w:r>
      <w:r w:rsidR="00C877D1">
        <w:t xml:space="preserve"> (50 </w:t>
      </w:r>
      <w:r w:rsidR="00F969C4">
        <w:t>mL/min</w:t>
      </w:r>
      <w:r w:rsidR="00C877D1">
        <w:t>, 500</w:t>
      </w:r>
      <w:r w:rsidR="00150189">
        <w:t> </w:t>
      </w:r>
      <w:r w:rsidR="00F969C4">
        <w:t>mL/min</w:t>
      </w:r>
      <w:r w:rsidR="00C877D1">
        <w:t>, 5</w:t>
      </w:r>
      <w:r w:rsidR="00F969C4">
        <w:t xml:space="preserve"> </w:t>
      </w:r>
      <w:r w:rsidR="00C877D1">
        <w:t xml:space="preserve">000 </w:t>
      </w:r>
      <w:r w:rsidR="00F969C4">
        <w:t>mL/min</w:t>
      </w:r>
      <w:r w:rsidR="00C877D1">
        <w:t>, 50</w:t>
      </w:r>
      <w:r w:rsidR="00F969C4">
        <w:t xml:space="preserve"> 000</w:t>
      </w:r>
      <w:r w:rsidR="00C877D1">
        <w:t xml:space="preserve"> </w:t>
      </w:r>
      <w:r w:rsidR="00F969C4">
        <w:t>mL/min</w:t>
      </w:r>
      <w:r w:rsidR="00C877D1">
        <w:t>)</w:t>
      </w:r>
      <w:r w:rsidR="00B97194">
        <w:t xml:space="preserve"> were </w:t>
      </w:r>
      <w:r w:rsidR="00C877D1">
        <w:t xml:space="preserve">used as comparison artefacts. </w:t>
      </w:r>
      <w:r w:rsidR="006054BF">
        <w:t>Measurements were first performed by NMISA. The four mass flow controllers were then sen</w:t>
      </w:r>
      <w:r w:rsidR="00CF510F">
        <w:t>t</w:t>
      </w:r>
      <w:r w:rsidR="006054BF">
        <w:t xml:space="preserve"> to the </w:t>
      </w:r>
      <w:r w:rsidR="00F969C4">
        <w:t>VTT-</w:t>
      </w:r>
      <w:r w:rsidR="006054BF">
        <w:t>MIKES flow laboratory</w:t>
      </w:r>
      <w:r w:rsidR="00D26E84">
        <w:t xml:space="preserve"> for calibration</w:t>
      </w:r>
      <w:r w:rsidR="006054BF">
        <w:t xml:space="preserve">. After </w:t>
      </w:r>
      <w:r w:rsidR="00F969C4">
        <w:t>VTT-</w:t>
      </w:r>
      <w:r w:rsidR="006054BF">
        <w:t>MIKES ha</w:t>
      </w:r>
      <w:r w:rsidR="002E667B">
        <w:t>d</w:t>
      </w:r>
      <w:r w:rsidR="006054BF">
        <w:t xml:space="preserve"> </w:t>
      </w:r>
      <w:r w:rsidR="00F43DBD">
        <w:t>completed the calibration</w:t>
      </w:r>
      <w:r w:rsidR="006054BF">
        <w:t xml:space="preserve">, the mass flow controllers were </w:t>
      </w:r>
      <w:r w:rsidR="00064B45">
        <w:t>returned</w:t>
      </w:r>
      <w:r w:rsidR="006054BF">
        <w:t xml:space="preserve"> to NMISA for a second </w:t>
      </w:r>
      <w:r w:rsidR="002E667B">
        <w:t>calibration</w:t>
      </w:r>
      <w:r w:rsidR="006054BF">
        <w:t>.</w:t>
      </w:r>
      <w:r w:rsidR="00064B45">
        <w:t xml:space="preserve"> </w:t>
      </w:r>
      <w:r w:rsidR="001F0B7F">
        <w:t>VTT-</w:t>
      </w:r>
      <w:r w:rsidR="00064B45">
        <w:t xml:space="preserve">MIKES acted as the </w:t>
      </w:r>
      <w:r w:rsidR="000E1AD3">
        <w:t>reference</w:t>
      </w:r>
      <w:r w:rsidR="00064B45">
        <w:t xml:space="preserve"> laboratory</w:t>
      </w:r>
      <w:r w:rsidR="00774C72">
        <w:t xml:space="preserve"> (pilot)</w:t>
      </w:r>
      <w:r w:rsidR="00F43DBD">
        <w:t>,</w:t>
      </w:r>
      <w:r w:rsidR="004646C5">
        <w:t xml:space="preserve"> compiling the c</w:t>
      </w:r>
      <w:r w:rsidR="00C8175E">
        <w:t xml:space="preserve">omparison report </w:t>
      </w:r>
      <w:r w:rsidR="00F43DBD">
        <w:t>and generating the calibration certificates</w:t>
      </w:r>
      <w:r w:rsidR="00C8175E">
        <w:t>.</w:t>
      </w:r>
    </w:p>
    <w:p w:rsidR="006F1A64" w:rsidRDefault="006F1A64" w:rsidP="002A73B9">
      <w:pPr>
        <w:pStyle w:val="BodyText"/>
      </w:pPr>
    </w:p>
    <w:p w:rsidR="006F1A64" w:rsidRDefault="00064B45" w:rsidP="002A73B9">
      <w:pPr>
        <w:pStyle w:val="BodyText"/>
      </w:pPr>
      <w:r>
        <w:t>Measurements were performed</w:t>
      </w:r>
      <w:r w:rsidR="00155445">
        <w:t xml:space="preserve"> at the following nominal points</w:t>
      </w:r>
      <w:r w:rsidR="006F1A64">
        <w:t>:</w:t>
      </w:r>
    </w:p>
    <w:p w:rsidR="006F1A64" w:rsidRPr="00F969C4" w:rsidRDefault="006F1A64" w:rsidP="006F1A64">
      <w:pPr>
        <w:pStyle w:val="BodyText"/>
        <w:rPr>
          <w:lang w:val="fi-FI"/>
        </w:rPr>
      </w:pPr>
      <w:r w:rsidRPr="00F969C4">
        <w:rPr>
          <w:lang w:val="fi-FI"/>
        </w:rPr>
        <w:t>MFC(1): 5 m</w:t>
      </w:r>
      <w:r w:rsidR="00F969C4">
        <w:rPr>
          <w:lang w:val="fi-FI"/>
        </w:rPr>
        <w:t>L</w:t>
      </w:r>
      <w:r w:rsidRPr="00F969C4">
        <w:rPr>
          <w:lang w:val="fi-FI"/>
        </w:rPr>
        <w:t>/min, 12</w:t>
      </w:r>
      <w:r w:rsidR="00843730">
        <w:rPr>
          <w:lang w:val="fi-FI"/>
        </w:rPr>
        <w:t>.</w:t>
      </w:r>
      <w:r w:rsidRPr="00F969C4">
        <w:rPr>
          <w:lang w:val="fi-FI"/>
        </w:rPr>
        <w:t>5 m</w:t>
      </w:r>
      <w:r w:rsidR="00F969C4">
        <w:rPr>
          <w:lang w:val="fi-FI"/>
        </w:rPr>
        <w:t>L</w:t>
      </w:r>
      <w:r w:rsidRPr="00F969C4">
        <w:rPr>
          <w:lang w:val="fi-FI"/>
        </w:rPr>
        <w:t>/min, 25 m</w:t>
      </w:r>
      <w:r w:rsidR="00F969C4">
        <w:rPr>
          <w:lang w:val="fi-FI"/>
        </w:rPr>
        <w:t>L</w:t>
      </w:r>
      <w:r w:rsidRPr="00F969C4">
        <w:rPr>
          <w:lang w:val="fi-FI"/>
        </w:rPr>
        <w:t xml:space="preserve">/min, </w:t>
      </w:r>
      <w:r w:rsidR="003B21ED" w:rsidRPr="00F969C4">
        <w:rPr>
          <w:lang w:val="fi-FI"/>
        </w:rPr>
        <w:br/>
      </w:r>
      <w:r w:rsidRPr="00F969C4">
        <w:rPr>
          <w:lang w:val="fi-FI"/>
        </w:rPr>
        <w:t>37</w:t>
      </w:r>
      <w:r w:rsidR="00843730">
        <w:rPr>
          <w:lang w:val="fi-FI"/>
        </w:rPr>
        <w:t>.</w:t>
      </w:r>
      <w:r w:rsidRPr="00F969C4">
        <w:rPr>
          <w:lang w:val="fi-FI"/>
        </w:rPr>
        <w:t>5 m</w:t>
      </w:r>
      <w:r w:rsidR="00F969C4">
        <w:rPr>
          <w:lang w:val="fi-FI"/>
        </w:rPr>
        <w:t>L</w:t>
      </w:r>
      <w:r w:rsidRPr="00F969C4">
        <w:rPr>
          <w:lang w:val="fi-FI"/>
        </w:rPr>
        <w:t>/min and 50 m</w:t>
      </w:r>
      <w:r w:rsidR="00F969C4">
        <w:rPr>
          <w:lang w:val="fi-FI"/>
        </w:rPr>
        <w:t>L</w:t>
      </w:r>
      <w:r w:rsidRPr="00F969C4">
        <w:rPr>
          <w:lang w:val="fi-FI"/>
        </w:rPr>
        <w:t>/min</w:t>
      </w:r>
    </w:p>
    <w:p w:rsidR="006F1A64" w:rsidRPr="00F969C4" w:rsidRDefault="006F1A64" w:rsidP="006F1A64">
      <w:pPr>
        <w:pStyle w:val="BodyText"/>
        <w:rPr>
          <w:lang w:val="fi-FI"/>
        </w:rPr>
      </w:pPr>
      <w:r w:rsidRPr="00F969C4">
        <w:rPr>
          <w:lang w:val="fi-FI"/>
        </w:rPr>
        <w:t>MFC(2): 50 m</w:t>
      </w:r>
      <w:r w:rsidR="00F969C4">
        <w:rPr>
          <w:lang w:val="fi-FI"/>
        </w:rPr>
        <w:t>L</w:t>
      </w:r>
      <w:r w:rsidRPr="00F969C4">
        <w:rPr>
          <w:lang w:val="fi-FI"/>
        </w:rPr>
        <w:t>/min, 125 m</w:t>
      </w:r>
      <w:r w:rsidR="00F969C4">
        <w:rPr>
          <w:lang w:val="fi-FI"/>
        </w:rPr>
        <w:t>L</w:t>
      </w:r>
      <w:r w:rsidRPr="00F969C4">
        <w:rPr>
          <w:lang w:val="fi-FI"/>
        </w:rPr>
        <w:t>/min, 250 m</w:t>
      </w:r>
      <w:r w:rsidR="00F969C4">
        <w:rPr>
          <w:lang w:val="fi-FI"/>
        </w:rPr>
        <w:t>L</w:t>
      </w:r>
      <w:r w:rsidRPr="00F969C4">
        <w:rPr>
          <w:lang w:val="fi-FI"/>
        </w:rPr>
        <w:t xml:space="preserve">/min, </w:t>
      </w:r>
      <w:r w:rsidR="003B21ED" w:rsidRPr="00F969C4">
        <w:rPr>
          <w:lang w:val="fi-FI"/>
        </w:rPr>
        <w:br/>
      </w:r>
      <w:r w:rsidRPr="00F969C4">
        <w:rPr>
          <w:lang w:val="fi-FI"/>
        </w:rPr>
        <w:t>375 m</w:t>
      </w:r>
      <w:r w:rsidR="00F969C4">
        <w:rPr>
          <w:lang w:val="fi-FI"/>
        </w:rPr>
        <w:t>L</w:t>
      </w:r>
      <w:r w:rsidRPr="00F969C4">
        <w:rPr>
          <w:lang w:val="fi-FI"/>
        </w:rPr>
        <w:t>/min and 500 m</w:t>
      </w:r>
      <w:r w:rsidR="00F969C4">
        <w:rPr>
          <w:lang w:val="fi-FI"/>
        </w:rPr>
        <w:t>L</w:t>
      </w:r>
      <w:r w:rsidRPr="00F969C4">
        <w:rPr>
          <w:lang w:val="fi-FI"/>
        </w:rPr>
        <w:t>/min</w:t>
      </w:r>
    </w:p>
    <w:p w:rsidR="006F1A64" w:rsidRPr="00F969C4" w:rsidRDefault="006F1A64" w:rsidP="006F1A64">
      <w:pPr>
        <w:pStyle w:val="BodyText"/>
        <w:rPr>
          <w:lang w:val="fi-FI"/>
        </w:rPr>
      </w:pPr>
      <w:r w:rsidRPr="00F969C4">
        <w:rPr>
          <w:lang w:val="fi-FI"/>
        </w:rPr>
        <w:t>MFC(3): 500 m</w:t>
      </w:r>
      <w:r w:rsidR="00F969C4">
        <w:rPr>
          <w:lang w:val="fi-FI"/>
        </w:rPr>
        <w:t>L</w:t>
      </w:r>
      <w:r w:rsidRPr="00F969C4">
        <w:rPr>
          <w:lang w:val="fi-FI"/>
        </w:rPr>
        <w:t>/min, 1 250 m</w:t>
      </w:r>
      <w:r w:rsidR="00F969C4">
        <w:rPr>
          <w:lang w:val="fi-FI"/>
        </w:rPr>
        <w:t>L</w:t>
      </w:r>
      <w:r w:rsidRPr="00F969C4">
        <w:rPr>
          <w:lang w:val="fi-FI"/>
        </w:rPr>
        <w:t>/min, 2 500 m</w:t>
      </w:r>
      <w:r w:rsidR="00F969C4">
        <w:rPr>
          <w:lang w:val="fi-FI"/>
        </w:rPr>
        <w:t>L</w:t>
      </w:r>
      <w:r w:rsidRPr="00F969C4">
        <w:rPr>
          <w:lang w:val="fi-FI"/>
        </w:rPr>
        <w:t xml:space="preserve">/min, </w:t>
      </w:r>
      <w:r w:rsidR="003B21ED" w:rsidRPr="00F969C4">
        <w:rPr>
          <w:lang w:val="fi-FI"/>
        </w:rPr>
        <w:br/>
      </w:r>
      <w:r w:rsidRPr="00F969C4">
        <w:rPr>
          <w:lang w:val="fi-FI"/>
        </w:rPr>
        <w:t>3 750 m</w:t>
      </w:r>
      <w:r w:rsidR="00F969C4">
        <w:rPr>
          <w:lang w:val="fi-FI"/>
        </w:rPr>
        <w:t>L</w:t>
      </w:r>
      <w:r w:rsidRPr="00F969C4">
        <w:rPr>
          <w:lang w:val="fi-FI"/>
        </w:rPr>
        <w:t>/min and 5 000 m</w:t>
      </w:r>
      <w:r w:rsidR="00F969C4">
        <w:rPr>
          <w:lang w:val="fi-FI"/>
        </w:rPr>
        <w:t>L</w:t>
      </w:r>
      <w:r w:rsidRPr="00F969C4">
        <w:rPr>
          <w:lang w:val="fi-FI"/>
        </w:rPr>
        <w:t xml:space="preserve">/min </w:t>
      </w:r>
    </w:p>
    <w:p w:rsidR="006F1A64" w:rsidRPr="00F969C4" w:rsidRDefault="006F1A64" w:rsidP="006F1A64">
      <w:pPr>
        <w:pStyle w:val="BodyText"/>
        <w:rPr>
          <w:lang w:val="fi-FI"/>
        </w:rPr>
      </w:pPr>
      <w:r w:rsidRPr="00F969C4">
        <w:rPr>
          <w:lang w:val="fi-FI"/>
        </w:rPr>
        <w:lastRenderedPageBreak/>
        <w:t xml:space="preserve">MFC(4): 5 000 </w:t>
      </w:r>
      <w:r w:rsidR="00F969C4" w:rsidRPr="00F969C4">
        <w:rPr>
          <w:lang w:val="fi-FI"/>
        </w:rPr>
        <w:t>m</w:t>
      </w:r>
      <w:r w:rsidR="00F969C4">
        <w:rPr>
          <w:lang w:val="fi-FI"/>
        </w:rPr>
        <w:t>L</w:t>
      </w:r>
      <w:r w:rsidRPr="00F969C4">
        <w:rPr>
          <w:lang w:val="fi-FI"/>
        </w:rPr>
        <w:t>/min, 12 500 m</w:t>
      </w:r>
      <w:r w:rsidR="00F969C4">
        <w:rPr>
          <w:lang w:val="fi-FI"/>
        </w:rPr>
        <w:t>L</w:t>
      </w:r>
      <w:r w:rsidRPr="00F969C4">
        <w:rPr>
          <w:lang w:val="fi-FI"/>
        </w:rPr>
        <w:t>/min, 25</w:t>
      </w:r>
      <w:r w:rsidR="00F969C4">
        <w:rPr>
          <w:lang w:val="fi-FI"/>
        </w:rPr>
        <w:t> </w:t>
      </w:r>
      <w:r w:rsidRPr="00F969C4">
        <w:rPr>
          <w:lang w:val="fi-FI"/>
        </w:rPr>
        <w:t>000</w:t>
      </w:r>
      <w:r w:rsidR="00F969C4">
        <w:rPr>
          <w:lang w:val="fi-FI"/>
        </w:rPr>
        <w:t> </w:t>
      </w:r>
      <w:r w:rsidRPr="00F969C4">
        <w:rPr>
          <w:lang w:val="fi-FI"/>
        </w:rPr>
        <w:t>m</w:t>
      </w:r>
      <w:r w:rsidR="00F969C4">
        <w:rPr>
          <w:lang w:val="fi-FI"/>
        </w:rPr>
        <w:t>L</w:t>
      </w:r>
      <w:r w:rsidRPr="00F969C4">
        <w:rPr>
          <w:lang w:val="fi-FI"/>
        </w:rPr>
        <w:t>/min, 37 500 m</w:t>
      </w:r>
      <w:r w:rsidR="00F969C4">
        <w:rPr>
          <w:lang w:val="fi-FI"/>
        </w:rPr>
        <w:t>L</w:t>
      </w:r>
      <w:r w:rsidRPr="00F969C4">
        <w:rPr>
          <w:lang w:val="fi-FI"/>
        </w:rPr>
        <w:t>/min and 50 000 m</w:t>
      </w:r>
      <w:r w:rsidR="00F969C4">
        <w:rPr>
          <w:lang w:val="fi-FI"/>
        </w:rPr>
        <w:t>L</w:t>
      </w:r>
      <w:r w:rsidRPr="00F969C4">
        <w:rPr>
          <w:lang w:val="fi-FI"/>
        </w:rPr>
        <w:t>/min</w:t>
      </w:r>
    </w:p>
    <w:p w:rsidR="006F1A64" w:rsidRPr="00F969C4" w:rsidRDefault="006F1A64" w:rsidP="006F1A64">
      <w:pPr>
        <w:pStyle w:val="BodyText"/>
        <w:rPr>
          <w:lang w:val="fi-FI"/>
        </w:rPr>
      </w:pPr>
    </w:p>
    <w:p w:rsidR="00774C72" w:rsidRDefault="006F1A64" w:rsidP="006F1A64">
      <w:pPr>
        <w:pStyle w:val="BodyText"/>
      </w:pPr>
      <w:r>
        <w:t>Measurement</w:t>
      </w:r>
      <w:r w:rsidR="00150189">
        <w:t xml:space="preserve"> results</w:t>
      </w:r>
      <w:r>
        <w:t xml:space="preserve"> were </w:t>
      </w:r>
      <w:r w:rsidR="00150189">
        <w:t xml:space="preserve">reported </w:t>
      </w:r>
      <w:r>
        <w:t>at the standard conditions of 0 °C and 101</w:t>
      </w:r>
      <w:r w:rsidR="00F969C4">
        <w:t>.</w:t>
      </w:r>
      <w:r>
        <w:t xml:space="preserve">325 </w:t>
      </w:r>
      <w:proofErr w:type="spellStart"/>
      <w:r>
        <w:t>kPa</w:t>
      </w:r>
      <w:proofErr w:type="spellEnd"/>
      <w:r>
        <w:t>.</w:t>
      </w:r>
      <w:r w:rsidR="003975EF">
        <w:t xml:space="preserve"> Nitrogen</w:t>
      </w:r>
      <w:r w:rsidR="007F51E1">
        <w:t xml:space="preserve"> </w:t>
      </w:r>
      <w:r w:rsidR="003975EF">
        <w:t>(purity of at least 99</w:t>
      </w:r>
      <w:r w:rsidR="00F969C4">
        <w:t>.</w:t>
      </w:r>
      <w:r w:rsidR="003975EF">
        <w:t>999%) was used as the calibration gas and the mass flow controller</w:t>
      </w:r>
      <w:r w:rsidR="00A04278">
        <w:t>s’</w:t>
      </w:r>
      <w:r w:rsidR="003975EF">
        <w:t xml:space="preserve"> inlet pressure was set to</w:t>
      </w:r>
      <w:r w:rsidR="007429AE">
        <w:br/>
      </w:r>
      <w:r w:rsidR="003975EF">
        <w:t>1</w:t>
      </w:r>
      <w:r w:rsidR="00F969C4">
        <w:t>.</w:t>
      </w:r>
      <w:r w:rsidR="003975EF">
        <w:t xml:space="preserve">7 </w:t>
      </w:r>
      <w:proofErr w:type="gramStart"/>
      <w:r w:rsidR="003975EF">
        <w:t>bar(</w:t>
      </w:r>
      <w:proofErr w:type="gramEnd"/>
      <w:r w:rsidR="003975EF">
        <w:t>g)</w:t>
      </w:r>
      <w:r w:rsidR="007F51E1">
        <w:t>.</w:t>
      </w:r>
      <w:r w:rsidR="00820F88">
        <w:t xml:space="preserve"> Measurement uncertainty calculations </w:t>
      </w:r>
      <w:r w:rsidR="00F969C4">
        <w:t>were performed</w:t>
      </w:r>
      <w:r w:rsidR="00820F88">
        <w:t xml:space="preserve"> for each measurement.</w:t>
      </w:r>
      <w:r w:rsidR="003975EF">
        <w:t xml:space="preserve"> </w:t>
      </w:r>
    </w:p>
    <w:p w:rsidR="00774C72" w:rsidRDefault="00774C72" w:rsidP="006F1A64">
      <w:pPr>
        <w:pStyle w:val="BodyText"/>
      </w:pPr>
    </w:p>
    <w:p w:rsidR="009343D4" w:rsidRDefault="00774C72" w:rsidP="006F1A64">
      <w:pPr>
        <w:pStyle w:val="BodyText"/>
      </w:pPr>
      <w:r>
        <w:t>A specific excel spreadsheet was provided by the</w:t>
      </w:r>
      <w:r w:rsidR="00222BDB">
        <w:t xml:space="preserve"> pilot laboratory for </w:t>
      </w:r>
      <w:r w:rsidR="00281EBF">
        <w:t xml:space="preserve">the </w:t>
      </w:r>
      <w:r w:rsidR="00222BDB">
        <w:t>reporting of the results. Calibration certificates</w:t>
      </w:r>
      <w:r w:rsidR="00426B02">
        <w:t xml:space="preserve"> were generated for the calibrations. A description</w:t>
      </w:r>
      <w:r w:rsidR="00281EBF">
        <w:t xml:space="preserve"> and pictures</w:t>
      </w:r>
      <w:r w:rsidR="00426B02">
        <w:t xml:space="preserve"> of the calibration system </w:t>
      </w:r>
      <w:r w:rsidR="00A04278">
        <w:t>had to be submitted to the pilot laboratory as well as</w:t>
      </w:r>
      <w:r w:rsidR="00DF3DE8">
        <w:t xml:space="preserve"> the </w:t>
      </w:r>
      <w:r w:rsidR="00A04278">
        <w:t xml:space="preserve">NMISA </w:t>
      </w:r>
      <w:r w:rsidR="00DF3DE8">
        <w:t xml:space="preserve">gas flow laboratory’s </w:t>
      </w:r>
      <w:r w:rsidR="00426B02">
        <w:t>traceability information</w:t>
      </w:r>
      <w:r w:rsidR="00A04278">
        <w:t>.</w:t>
      </w:r>
    </w:p>
    <w:p w:rsidR="009343D4" w:rsidRDefault="009343D4" w:rsidP="006F1A64">
      <w:pPr>
        <w:pStyle w:val="BodyText"/>
      </w:pPr>
    </w:p>
    <w:p w:rsidR="006F1A64" w:rsidRDefault="009343D4" w:rsidP="006F1A64">
      <w:pPr>
        <w:pStyle w:val="BodyText"/>
      </w:pPr>
      <w:r>
        <w:t>NMISA submitted their</w:t>
      </w:r>
      <w:r w:rsidR="001561A9">
        <w:t xml:space="preserve"> two sets of measurement results</w:t>
      </w:r>
      <w:r w:rsidR="00DF3DE8">
        <w:t xml:space="preserve"> simultaneously </w:t>
      </w:r>
      <w:r w:rsidR="001561A9">
        <w:t xml:space="preserve">after the second </w:t>
      </w:r>
      <w:r w:rsidR="00885864">
        <w:t>calibration</w:t>
      </w:r>
      <w:r w:rsidR="001561A9">
        <w:t xml:space="preserve"> was completed. </w:t>
      </w:r>
      <w:r w:rsidR="001F0B7F">
        <w:t>VTT-</w:t>
      </w:r>
      <w:r w:rsidR="001561A9">
        <w:t xml:space="preserve">MIKES compiled the comparison report thereafter.    </w:t>
      </w:r>
      <w:r>
        <w:t xml:space="preserve">       </w:t>
      </w:r>
      <w:r w:rsidR="003975EF">
        <w:t xml:space="preserve">   </w:t>
      </w:r>
    </w:p>
    <w:p w:rsidR="006F1A64" w:rsidRDefault="006F1A64" w:rsidP="006F1A64">
      <w:pPr>
        <w:pStyle w:val="BodyText"/>
      </w:pPr>
    </w:p>
    <w:p w:rsidR="000E1AD3" w:rsidRPr="000E1AD3" w:rsidRDefault="000E1AD3" w:rsidP="000E1AD3">
      <w:pPr>
        <w:pStyle w:val="BodyText"/>
        <w:rPr>
          <w:i/>
        </w:rPr>
      </w:pPr>
      <w:r w:rsidRPr="000E1AD3">
        <w:rPr>
          <w:i/>
        </w:rPr>
        <w:t>4.</w:t>
      </w:r>
      <w:r>
        <w:rPr>
          <w:i/>
        </w:rPr>
        <w:t>2</w:t>
      </w:r>
      <w:r w:rsidRPr="000E1AD3">
        <w:rPr>
          <w:i/>
        </w:rPr>
        <w:t xml:space="preserve"> </w:t>
      </w:r>
      <w:r>
        <w:rPr>
          <w:i/>
        </w:rPr>
        <w:t xml:space="preserve">Measurements performed at </w:t>
      </w:r>
      <w:r w:rsidR="001F0B7F">
        <w:rPr>
          <w:i/>
        </w:rPr>
        <w:t>VTT-</w:t>
      </w:r>
      <w:r>
        <w:rPr>
          <w:i/>
        </w:rPr>
        <w:t>MIKES</w:t>
      </w:r>
    </w:p>
    <w:p w:rsidR="00395775" w:rsidRDefault="009F12F6" w:rsidP="000E1AD3">
      <w:pPr>
        <w:pStyle w:val="BodyText"/>
        <w:rPr>
          <w:lang w:val="en-GB"/>
        </w:rPr>
      </w:pPr>
      <w:r w:rsidRPr="009F12F6">
        <w:rPr>
          <w:lang w:val="en-GB"/>
        </w:rPr>
        <w:t>Calibrations below 30 000 m</w:t>
      </w:r>
      <w:r w:rsidR="00E350F5">
        <w:rPr>
          <w:lang w:val="en-GB"/>
        </w:rPr>
        <w:t>L</w:t>
      </w:r>
      <w:r w:rsidRPr="009F12F6">
        <w:rPr>
          <w:lang w:val="en-GB"/>
        </w:rPr>
        <w:t>/min were performed using the LFE</w:t>
      </w:r>
      <w:r w:rsidR="007F51E1">
        <w:rPr>
          <w:lang w:val="en-GB"/>
        </w:rPr>
        <w:t xml:space="preserve"> (laminar flow element)</w:t>
      </w:r>
      <w:r w:rsidRPr="009F12F6">
        <w:rPr>
          <w:lang w:val="en-GB"/>
        </w:rPr>
        <w:t xml:space="preserve"> calibration system and for calibrations above 30 000 m</w:t>
      </w:r>
      <w:r w:rsidR="00E350F5">
        <w:rPr>
          <w:lang w:val="en-GB"/>
        </w:rPr>
        <w:t>L</w:t>
      </w:r>
      <w:r w:rsidRPr="009F12F6">
        <w:rPr>
          <w:lang w:val="en-GB"/>
        </w:rPr>
        <w:t>/min</w:t>
      </w:r>
      <w:r w:rsidR="00233F89">
        <w:rPr>
          <w:lang w:val="en-GB"/>
        </w:rPr>
        <w:t>,</w:t>
      </w:r>
      <w:r w:rsidRPr="009F12F6">
        <w:rPr>
          <w:lang w:val="en-GB"/>
        </w:rPr>
        <w:t xml:space="preserve"> the DWS2</w:t>
      </w:r>
      <w:r w:rsidR="00233F89">
        <w:rPr>
          <w:lang w:val="en-GB"/>
        </w:rPr>
        <w:t xml:space="preserve"> primary standard</w:t>
      </w:r>
      <w:r w:rsidRPr="009F12F6">
        <w:rPr>
          <w:lang w:val="en-GB"/>
        </w:rPr>
        <w:t xml:space="preserve"> was used. The LFE calibration system is calibrated against</w:t>
      </w:r>
      <w:r w:rsidR="00233F89">
        <w:rPr>
          <w:lang w:val="en-GB"/>
        </w:rPr>
        <w:t xml:space="preserve"> the</w:t>
      </w:r>
      <w:r w:rsidRPr="009F12F6">
        <w:rPr>
          <w:lang w:val="en-GB"/>
        </w:rPr>
        <w:t xml:space="preserve"> DWS1</w:t>
      </w:r>
      <w:r w:rsidR="00233F89">
        <w:rPr>
          <w:lang w:val="en-GB"/>
        </w:rPr>
        <w:t xml:space="preserve"> primary standard </w:t>
      </w:r>
      <w:r w:rsidRPr="009F12F6">
        <w:rPr>
          <w:lang w:val="en-GB"/>
        </w:rPr>
        <w:t>to establish traceability to SI</w:t>
      </w:r>
      <w:r w:rsidR="00233F89">
        <w:rPr>
          <w:lang w:val="en-GB"/>
        </w:rPr>
        <w:t xml:space="preserve"> units</w:t>
      </w:r>
      <w:r w:rsidRPr="009F12F6">
        <w:rPr>
          <w:lang w:val="en-GB"/>
        </w:rPr>
        <w:t>.</w:t>
      </w:r>
    </w:p>
    <w:p w:rsidR="00395775" w:rsidRDefault="00395775" w:rsidP="000E1AD3">
      <w:pPr>
        <w:pStyle w:val="BodyText"/>
        <w:rPr>
          <w:lang w:val="en-GB"/>
        </w:rPr>
      </w:pPr>
    </w:p>
    <w:p w:rsidR="000E1AD3" w:rsidRDefault="00233F89" w:rsidP="000E1AD3">
      <w:pPr>
        <w:pStyle w:val="BodyText"/>
      </w:pPr>
      <w:r>
        <w:rPr>
          <w:lang w:val="en-GB"/>
        </w:rPr>
        <w:t xml:space="preserve">The two primary standards, </w:t>
      </w:r>
      <w:r w:rsidR="009F12F6">
        <w:rPr>
          <w:lang w:val="en-GB"/>
        </w:rPr>
        <w:t>DWS1 and DWS2</w:t>
      </w:r>
      <w:r>
        <w:rPr>
          <w:lang w:val="en-GB"/>
        </w:rPr>
        <w:t>,</w:t>
      </w:r>
      <w:r w:rsidR="009F12F6">
        <w:rPr>
          <w:lang w:val="en-GB"/>
        </w:rPr>
        <w:t xml:space="preserve"> are</w:t>
      </w:r>
      <w:r>
        <w:rPr>
          <w:lang w:val="en-GB"/>
        </w:rPr>
        <w:t xml:space="preserve"> </w:t>
      </w:r>
      <w:r w:rsidR="000E1AD3">
        <w:t xml:space="preserve">primary </w:t>
      </w:r>
      <w:r w:rsidR="00E75A32">
        <w:t xml:space="preserve">gravimetric </w:t>
      </w:r>
      <w:r w:rsidR="000E1AD3">
        <w:t>standards for gas mass flow which are traceable to SI</w:t>
      </w:r>
      <w:r>
        <w:t xml:space="preserve"> units</w:t>
      </w:r>
      <w:r w:rsidR="000E1AD3">
        <w:t xml:space="preserve"> through measurements of mass and time.</w:t>
      </w:r>
      <w:r w:rsidR="007F51E1">
        <w:t xml:space="preserve">  </w:t>
      </w:r>
      <w:r w:rsidR="000E1AD3">
        <w:tab/>
      </w:r>
    </w:p>
    <w:p w:rsidR="00150189" w:rsidRDefault="00150189" w:rsidP="000E1AD3">
      <w:pPr>
        <w:pStyle w:val="BodyText"/>
      </w:pPr>
    </w:p>
    <w:p w:rsidR="00150189" w:rsidRDefault="00150189" w:rsidP="00150189">
      <w:pPr>
        <w:pStyle w:val="BodyText"/>
      </w:pPr>
      <w:r>
        <w:t>At each measurement point four one minute measurements were performed.</w:t>
      </w:r>
    </w:p>
    <w:p w:rsidR="00621BF7" w:rsidRDefault="00621BF7" w:rsidP="000E1AD3">
      <w:pPr>
        <w:pStyle w:val="BodyText"/>
      </w:pPr>
    </w:p>
    <w:p w:rsidR="00621BF7" w:rsidRPr="000E1AD3" w:rsidRDefault="00621BF7" w:rsidP="00621BF7">
      <w:pPr>
        <w:pStyle w:val="BodyText"/>
        <w:rPr>
          <w:i/>
        </w:rPr>
      </w:pPr>
      <w:r w:rsidRPr="000E1AD3">
        <w:rPr>
          <w:i/>
        </w:rPr>
        <w:t>4.</w:t>
      </w:r>
      <w:r>
        <w:rPr>
          <w:i/>
        </w:rPr>
        <w:t>3</w:t>
      </w:r>
      <w:r w:rsidRPr="000E1AD3">
        <w:rPr>
          <w:i/>
        </w:rPr>
        <w:t xml:space="preserve"> </w:t>
      </w:r>
      <w:r>
        <w:rPr>
          <w:i/>
        </w:rPr>
        <w:t>Measurements performed at NMISA</w:t>
      </w:r>
    </w:p>
    <w:p w:rsidR="00BF5B1F" w:rsidRDefault="00F3543B" w:rsidP="000E1AD3">
      <w:pPr>
        <w:pStyle w:val="BodyText"/>
      </w:pPr>
      <w:r>
        <w:t>NMISA performed</w:t>
      </w:r>
      <w:r w:rsidR="00E36039">
        <w:t xml:space="preserve"> two sets of measurements, </w:t>
      </w:r>
      <w:r w:rsidR="00262486">
        <w:t xml:space="preserve">one </w:t>
      </w:r>
      <w:r>
        <w:t xml:space="preserve">before and </w:t>
      </w:r>
      <w:r w:rsidR="00262486">
        <w:t xml:space="preserve">one </w:t>
      </w:r>
      <w:r>
        <w:t>after</w:t>
      </w:r>
      <w:r w:rsidR="00E36039">
        <w:t xml:space="preserve"> </w:t>
      </w:r>
      <w:r w:rsidR="001F0B7F">
        <w:t>VTT-</w:t>
      </w:r>
      <w:r>
        <w:t>MIKES</w:t>
      </w:r>
      <w:r w:rsidR="00E36039">
        <w:t>’ measurements. The mass flow controllers were calibrated against the Bios ML-800</w:t>
      </w:r>
      <w:r w:rsidR="00395775">
        <w:t xml:space="preserve"> reference gas flow standard. The mass flow controllers were connected in line with the Bios.</w:t>
      </w:r>
    </w:p>
    <w:p w:rsidR="00BF5B1F" w:rsidRDefault="00BF5B1F" w:rsidP="000E1AD3">
      <w:pPr>
        <w:pStyle w:val="BodyText"/>
      </w:pPr>
    </w:p>
    <w:p w:rsidR="00C4572B" w:rsidRDefault="00395775" w:rsidP="000E1AD3">
      <w:pPr>
        <w:pStyle w:val="BodyText"/>
      </w:pPr>
      <w:r>
        <w:t xml:space="preserve">A nitrogen gas cylinder </w:t>
      </w:r>
      <w:r w:rsidR="00BF5B1F">
        <w:t>was connected to the inlet of the flow bench with its outlet connected</w:t>
      </w:r>
      <w:r w:rsidR="00645064">
        <w:t xml:space="preserve"> to the inlet of the mass flow controller. The outlet of the mass flow controller supplied the reference standard with the flow medium. </w:t>
      </w:r>
    </w:p>
    <w:p w:rsidR="00C4572B" w:rsidRDefault="00C4572B" w:rsidP="000E1AD3">
      <w:pPr>
        <w:pStyle w:val="BodyText"/>
      </w:pPr>
    </w:p>
    <w:p w:rsidR="00C4572B" w:rsidRDefault="00DE01C9" w:rsidP="000E1AD3">
      <w:pPr>
        <w:pStyle w:val="BodyText"/>
      </w:pPr>
      <w:r>
        <w:rPr>
          <w:noProof/>
          <w:lang w:val="en-ZA" w:eastAsia="en-ZA"/>
        </w:rPr>
        <w:lastRenderedPageBreak/>
        <w:drawing>
          <wp:inline distT="0" distB="0" distL="0" distR="0" wp14:anchorId="7861DDD0" wp14:editId="5D876AB9">
            <wp:extent cx="2880360" cy="2160214"/>
            <wp:effectExtent l="0" t="0" r="0" b="0"/>
            <wp:docPr id="5" name="Picture 5" descr="C:\Users\djonker.NMISA\AppData\Local\Microsoft\Windows\Temporary Internet Files\Content.Word\37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C:\Users\djonker.NMISA\AppData\Local\Microsoft\Windows\Temporary Internet Files\Content.Word\373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360" cy="2160214"/>
                    </a:xfrm>
                    <a:prstGeom prst="rect">
                      <a:avLst/>
                    </a:prstGeom>
                    <a:noFill/>
                    <a:ln>
                      <a:noFill/>
                    </a:ln>
                  </pic:spPr>
                </pic:pic>
              </a:graphicData>
            </a:graphic>
          </wp:inline>
        </w:drawing>
      </w:r>
    </w:p>
    <w:p w:rsidR="00566E1C" w:rsidRDefault="00566E1C" w:rsidP="00566E1C">
      <w:pPr>
        <w:pStyle w:val="Caption"/>
        <w:jc w:val="left"/>
        <w:rPr>
          <w:b w:val="0"/>
        </w:rPr>
      </w:pPr>
      <w:r>
        <w:t xml:space="preserve">Figure 1: </w:t>
      </w:r>
      <w:r w:rsidRPr="00566E1C">
        <w:rPr>
          <w:b w:val="0"/>
        </w:rPr>
        <w:t>NMISA calibration system.</w:t>
      </w:r>
    </w:p>
    <w:p w:rsidR="0070384C" w:rsidRPr="00BA6001" w:rsidRDefault="004222C5" w:rsidP="0070384C">
      <w:pPr>
        <w:rPr>
          <w:sz w:val="20"/>
        </w:rPr>
      </w:pPr>
      <w:r>
        <w:rPr>
          <w:sz w:val="20"/>
        </w:rPr>
        <w:t>T</w:t>
      </w:r>
      <w:r w:rsidR="00BA6001" w:rsidRPr="00BA6001">
        <w:rPr>
          <w:sz w:val="20"/>
        </w:rPr>
        <w:t>en</w:t>
      </w:r>
      <w:r w:rsidR="00150189">
        <w:rPr>
          <w:sz w:val="20"/>
        </w:rPr>
        <w:t xml:space="preserve"> </w:t>
      </w:r>
      <w:proofErr w:type="spellStart"/>
      <w:r w:rsidR="00150189">
        <w:rPr>
          <w:sz w:val="20"/>
        </w:rPr>
        <w:t>consequtive</w:t>
      </w:r>
      <w:proofErr w:type="spellEnd"/>
      <w:r w:rsidR="00150189">
        <w:rPr>
          <w:sz w:val="20"/>
        </w:rPr>
        <w:t xml:space="preserve"> readings from the reference standard were acquired at </w:t>
      </w:r>
      <w:r w:rsidR="00BA6001">
        <w:rPr>
          <w:sz w:val="20"/>
        </w:rPr>
        <w:t>each measuring point</w:t>
      </w:r>
      <w:r w:rsidR="00150189">
        <w:rPr>
          <w:sz w:val="20"/>
        </w:rPr>
        <w:t>.</w:t>
      </w:r>
      <w:r w:rsidR="00BA6001">
        <w:rPr>
          <w:sz w:val="20"/>
        </w:rPr>
        <w:t xml:space="preserve">   </w:t>
      </w:r>
    </w:p>
    <w:p w:rsidR="0070384C" w:rsidRDefault="0070384C" w:rsidP="0070384C"/>
    <w:p w:rsidR="00BA6001" w:rsidRDefault="00DA4EA9" w:rsidP="00BA6001">
      <w:pPr>
        <w:pStyle w:val="Heading1"/>
      </w:pPr>
      <w:r>
        <w:t>5</w:t>
      </w:r>
      <w:r w:rsidR="00BA6001">
        <w:t>. Method for analysing the results</w:t>
      </w:r>
    </w:p>
    <w:p w:rsidR="00BA6001" w:rsidRDefault="00BA6001" w:rsidP="00BA6001"/>
    <w:p w:rsidR="00BA6001" w:rsidRPr="00BA6001" w:rsidRDefault="00D602AE" w:rsidP="00E57385">
      <w:pPr>
        <w:jc w:val="both"/>
        <w:rPr>
          <w:sz w:val="20"/>
          <w:lang w:val="en-GB"/>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0" type="#_x0000_t75" style="position:absolute;left:0;text-align:left;margin-left:46.5pt;margin-top:11.35pt;width:21.8pt;height:15.25pt;z-index:-251652096;mso-position-horizontal:absolute;mso-position-horizontal-relative:text;mso-position-vertical:absolute;mso-position-vertical-relative:text">
            <v:imagedata r:id="rId12" o:title=""/>
          </v:shape>
          <o:OLEObject Type="Embed" ProgID="Equation.3" ShapeID="_x0000_s1120" DrawAspect="Content" ObjectID="_1532520386" r:id="rId13"/>
        </w:pict>
      </w:r>
      <w:r w:rsidR="00BA6001" w:rsidRPr="00BA6001">
        <w:rPr>
          <w:sz w:val="20"/>
          <w:lang w:val="en-GB"/>
        </w:rPr>
        <w:t>At each measurement point, the relative calibration correction (</w:t>
      </w:r>
      <w:r w:rsidR="001F0B7F">
        <w:rPr>
          <w:sz w:val="20"/>
          <w:lang w:val="en-GB"/>
        </w:rPr>
        <w:t xml:space="preserve">        </w:t>
      </w:r>
      <w:r w:rsidR="00BA6001" w:rsidRPr="00BA6001">
        <w:rPr>
          <w:sz w:val="20"/>
          <w:lang w:val="en-GB"/>
        </w:rPr>
        <w:t>) was determined as:</w:t>
      </w:r>
    </w:p>
    <w:p w:rsidR="00BA6001" w:rsidRPr="00BA6001" w:rsidRDefault="00BA6001" w:rsidP="00E57385">
      <w:pPr>
        <w:jc w:val="both"/>
        <w:rPr>
          <w:sz w:val="20"/>
          <w:lang w:val="en-GB"/>
        </w:rPr>
      </w:pPr>
    </w:p>
    <w:p w:rsidR="00BA6001" w:rsidRPr="00BA6001" w:rsidRDefault="00D602AE" w:rsidP="00E57385">
      <w:pPr>
        <w:ind w:firstLine="720"/>
        <w:jc w:val="both"/>
        <w:rPr>
          <w:sz w:val="20"/>
          <w:lang w:val="en-GB"/>
        </w:rPr>
      </w:pPr>
      <w:r>
        <w:rPr>
          <w:noProof/>
          <w:sz w:val="20"/>
        </w:rPr>
        <w:pict>
          <v:shape id="_x0000_s1127" type="#_x0000_t75" style="position:absolute;left:0;text-align:left;margin-left:36.3pt;margin-top:.3pt;width:102.55pt;height:29.45pt;z-index:-251643904;mso-position-horizontal:absolute;mso-position-horizontal-relative:text;mso-position-vertical:absolute;mso-position-vertical-relative:text">
            <v:imagedata r:id="rId14" o:title=""/>
          </v:shape>
          <o:OLEObject Type="Embed" ProgID="Equation.3" ShapeID="_x0000_s1127" DrawAspect="Content" ObjectID="_1532520387" r:id="rId15"/>
        </w:pict>
      </w:r>
      <w:r w:rsidR="00BA6001" w:rsidRPr="00BA6001">
        <w:rPr>
          <w:sz w:val="20"/>
          <w:lang w:val="en-GB"/>
        </w:rPr>
        <w:tab/>
      </w:r>
      <w:r w:rsidR="00BA6001">
        <w:rPr>
          <w:sz w:val="20"/>
          <w:lang w:val="en-GB"/>
        </w:rPr>
        <w:t xml:space="preserve">        </w:t>
      </w:r>
      <w:r w:rsidR="001F0B7F">
        <w:rPr>
          <w:sz w:val="20"/>
          <w:lang w:val="en-GB"/>
        </w:rPr>
        <w:tab/>
      </w:r>
      <w:r w:rsidR="00A20CEF">
        <w:rPr>
          <w:sz w:val="20"/>
          <w:lang w:val="en-GB"/>
        </w:rPr>
        <w:t xml:space="preserve"> </w:t>
      </w:r>
      <w:r w:rsidR="00BA6001">
        <w:rPr>
          <w:sz w:val="20"/>
          <w:lang w:val="en-GB"/>
        </w:rPr>
        <w:t xml:space="preserve">  </w:t>
      </w:r>
      <w:r w:rsidR="001F0B7F">
        <w:rPr>
          <w:sz w:val="20"/>
          <w:lang w:val="en-GB"/>
        </w:rPr>
        <w:t xml:space="preserve">          </w:t>
      </w:r>
      <w:r w:rsidR="00A20CEF">
        <w:rPr>
          <w:sz w:val="20"/>
          <w:lang w:val="en-GB"/>
        </w:rPr>
        <w:t xml:space="preserve"> </w:t>
      </w:r>
      <w:r w:rsidR="001F0B7F">
        <w:rPr>
          <w:sz w:val="20"/>
          <w:lang w:val="en-GB"/>
        </w:rPr>
        <w:tab/>
      </w:r>
      <w:r w:rsidR="001F0B7F">
        <w:rPr>
          <w:sz w:val="20"/>
          <w:lang w:val="en-GB"/>
        </w:rPr>
        <w:tab/>
        <w:t xml:space="preserve">              </w:t>
      </w:r>
      <w:r w:rsidR="00BA6001" w:rsidRPr="00BA6001">
        <w:rPr>
          <w:sz w:val="20"/>
          <w:lang w:val="en-GB"/>
        </w:rPr>
        <w:t>(1)</w:t>
      </w:r>
    </w:p>
    <w:p w:rsidR="00BA6001" w:rsidRDefault="001F0B7F" w:rsidP="00E57385">
      <w:pPr>
        <w:jc w:val="both"/>
        <w:rPr>
          <w:sz w:val="20"/>
          <w:lang w:val="en-GB"/>
        </w:rPr>
      </w:pPr>
      <w:r>
        <w:rPr>
          <w:sz w:val="20"/>
          <w:lang w:val="en-GB"/>
        </w:rPr>
        <w:tab/>
      </w:r>
      <w:r>
        <w:rPr>
          <w:sz w:val="20"/>
          <w:lang w:val="en-GB"/>
        </w:rPr>
        <w:tab/>
      </w:r>
      <w:r>
        <w:rPr>
          <w:sz w:val="20"/>
          <w:lang w:val="en-GB"/>
        </w:rPr>
        <w:tab/>
        <w:t xml:space="preserve">             ,</w:t>
      </w:r>
    </w:p>
    <w:p w:rsidR="001F0B7F" w:rsidRPr="00BA6001" w:rsidRDefault="001F0B7F" w:rsidP="00E57385">
      <w:pPr>
        <w:jc w:val="both"/>
        <w:rPr>
          <w:sz w:val="20"/>
          <w:lang w:val="en-GB"/>
        </w:rPr>
      </w:pPr>
    </w:p>
    <w:p w:rsidR="00BA6001" w:rsidRPr="00BA6001" w:rsidRDefault="00D602AE" w:rsidP="00E57385">
      <w:pPr>
        <w:jc w:val="both"/>
        <w:rPr>
          <w:sz w:val="20"/>
          <w:lang w:val="en-GB"/>
        </w:rPr>
      </w:pPr>
      <w:r>
        <w:rPr>
          <w:noProof/>
          <w:sz w:val="20"/>
        </w:rPr>
        <w:pict>
          <v:shape id="_x0000_s1125" type="#_x0000_t75" style="position:absolute;left:0;text-align:left;margin-left:71.75pt;margin-top:.3pt;width:14.75pt;height:14.75pt;z-index:-251648000;mso-position-horizontal:absolute;mso-position-horizontal-relative:text;mso-position-vertical:absolute;mso-position-vertical-relative:text">
            <v:imagedata r:id="rId16" o:title=""/>
          </v:shape>
          <o:OLEObject Type="Embed" ProgID="Equation.3" ShapeID="_x0000_s1125" DrawAspect="Content" ObjectID="_1532520388" r:id="rId17"/>
        </w:pict>
      </w:r>
      <w:r>
        <w:rPr>
          <w:noProof/>
          <w:sz w:val="20"/>
        </w:rPr>
        <w:pict>
          <v:shape id="_x0000_s1124" type="#_x0000_t75" style="position:absolute;left:0;text-align:left;margin-left:26.95pt;margin-top:-.3pt;width:24.55pt;height:16.35pt;z-index:-251650048;mso-position-horizontal:absolute;mso-position-horizontal-relative:text;mso-position-vertical:absolute;mso-position-vertical-relative:text">
            <v:imagedata r:id="rId18" o:title=""/>
          </v:shape>
          <o:OLEObject Type="Embed" ProgID="Equation.3" ShapeID="_x0000_s1124" DrawAspect="Content" ObjectID="_1532520389" r:id="rId19"/>
        </w:pict>
      </w:r>
      <w:proofErr w:type="gramStart"/>
      <w:r w:rsidR="00BA6001" w:rsidRPr="00BA6001">
        <w:rPr>
          <w:sz w:val="20"/>
          <w:lang w:val="en-GB"/>
        </w:rPr>
        <w:t>where</w:t>
      </w:r>
      <w:proofErr w:type="gramEnd"/>
      <w:r w:rsidR="00BA6001" w:rsidRPr="00BA6001">
        <w:rPr>
          <w:sz w:val="20"/>
          <w:lang w:val="en-GB"/>
        </w:rPr>
        <w:t xml:space="preserve">  </w:t>
      </w:r>
      <w:r w:rsidR="000D1C07">
        <w:rPr>
          <w:sz w:val="20"/>
          <w:lang w:val="en-GB"/>
        </w:rPr>
        <w:t xml:space="preserve">    </w:t>
      </w:r>
      <w:r w:rsidR="00BA6001" w:rsidRPr="00BA6001">
        <w:rPr>
          <w:sz w:val="20"/>
          <w:lang w:val="en-GB"/>
        </w:rPr>
        <w:t>and</w:t>
      </w:r>
      <w:r w:rsidR="002C0D6A">
        <w:rPr>
          <w:sz w:val="20"/>
          <w:lang w:val="en-GB"/>
        </w:rPr>
        <w:t xml:space="preserve"> </w:t>
      </w:r>
      <w:r w:rsidR="00BA6001" w:rsidRPr="00BA6001">
        <w:rPr>
          <w:sz w:val="20"/>
          <w:lang w:val="en-GB"/>
        </w:rPr>
        <w:t xml:space="preserve">  </w:t>
      </w:r>
      <w:r w:rsidR="000D1C07">
        <w:rPr>
          <w:sz w:val="20"/>
          <w:lang w:val="en-GB"/>
        </w:rPr>
        <w:t xml:space="preserve">  </w:t>
      </w:r>
      <w:r w:rsidR="00BA6001" w:rsidRPr="00BA6001">
        <w:rPr>
          <w:sz w:val="20"/>
          <w:lang w:val="en-GB"/>
        </w:rPr>
        <w:t>are the actual volumetric flow determined by the laboratory and the corresponding reading of the instrument, respectively. The difference between the reference laboratory and the participating laboratory (</w:t>
      </w:r>
      <w:r w:rsidR="00BA6001" w:rsidRPr="00BA6001">
        <w:rPr>
          <w:i/>
          <w:sz w:val="20"/>
          <w:lang w:val="en-GB"/>
        </w:rPr>
        <w:t>D</w:t>
      </w:r>
      <w:r w:rsidR="00BA6001" w:rsidRPr="00BA6001">
        <w:rPr>
          <w:i/>
          <w:sz w:val="20"/>
          <w:vertAlign w:val="subscript"/>
          <w:lang w:val="en-GB"/>
        </w:rPr>
        <w:t>NMISA</w:t>
      </w:r>
      <w:r w:rsidR="00BA6001" w:rsidRPr="00BA6001">
        <w:rPr>
          <w:sz w:val="20"/>
          <w:lang w:val="en-GB"/>
        </w:rPr>
        <w:t>) was determined as:</w:t>
      </w:r>
    </w:p>
    <w:p w:rsidR="00BA6001" w:rsidRPr="00BA6001" w:rsidRDefault="00BA6001" w:rsidP="00E57385">
      <w:pPr>
        <w:jc w:val="both"/>
        <w:rPr>
          <w:sz w:val="20"/>
          <w:lang w:val="en-GB"/>
        </w:rPr>
      </w:pPr>
    </w:p>
    <w:p w:rsidR="00BA6001" w:rsidRPr="00BA6001" w:rsidRDefault="00D602AE" w:rsidP="00E57385">
      <w:pPr>
        <w:ind w:firstLine="720"/>
        <w:jc w:val="both"/>
        <w:rPr>
          <w:sz w:val="20"/>
          <w:lang w:val="en-GB"/>
        </w:rPr>
      </w:pPr>
      <w:r>
        <w:rPr>
          <w:noProof/>
          <w:sz w:val="20"/>
        </w:rPr>
        <w:pict>
          <v:shape id="_x0000_s1128" type="#_x0000_t75" style="position:absolute;left:0;text-align:left;margin-left:36.3pt;margin-top:.3pt;width:103.65pt;height:14.75pt;z-index:-251641856;mso-position-horizontal:absolute;mso-position-horizontal-relative:text;mso-position-vertical:absolute;mso-position-vertical-relative:text" fillcolor="window">
            <v:imagedata r:id="rId20" o:title=""/>
          </v:shape>
          <o:OLEObject Type="Embed" ProgID="Equation.3" ShapeID="_x0000_s1128" DrawAspect="Content" ObjectID="_1532520390" r:id="rId21"/>
        </w:pict>
      </w:r>
      <w:r w:rsidR="00BA6001">
        <w:rPr>
          <w:sz w:val="20"/>
          <w:lang w:val="en-GB"/>
        </w:rPr>
        <w:t xml:space="preserve">  </w:t>
      </w:r>
      <w:r w:rsidR="00BA6001" w:rsidRPr="00BA6001">
        <w:rPr>
          <w:sz w:val="20"/>
          <w:lang w:val="en-GB"/>
        </w:rPr>
        <w:tab/>
      </w:r>
      <w:r w:rsidR="00BA6001">
        <w:rPr>
          <w:sz w:val="20"/>
          <w:lang w:val="en-GB"/>
        </w:rPr>
        <w:t xml:space="preserve">  </w:t>
      </w:r>
      <w:r w:rsidR="001F0B7F">
        <w:rPr>
          <w:sz w:val="20"/>
          <w:lang w:val="en-GB"/>
        </w:rPr>
        <w:tab/>
      </w:r>
      <w:r w:rsidR="001F0B7F">
        <w:rPr>
          <w:sz w:val="20"/>
          <w:lang w:val="en-GB"/>
        </w:rPr>
        <w:tab/>
      </w:r>
      <w:r w:rsidR="001F0B7F">
        <w:rPr>
          <w:sz w:val="20"/>
          <w:lang w:val="en-GB"/>
        </w:rPr>
        <w:tab/>
        <w:t xml:space="preserve">             </w:t>
      </w:r>
      <w:r w:rsidR="00BA6001" w:rsidRPr="00BA6001">
        <w:rPr>
          <w:sz w:val="20"/>
          <w:lang w:val="en-GB"/>
        </w:rPr>
        <w:t>(2)</w:t>
      </w:r>
    </w:p>
    <w:p w:rsidR="00BA6001" w:rsidRPr="00BA6001" w:rsidRDefault="00BA6001" w:rsidP="00E57385">
      <w:pPr>
        <w:jc w:val="both"/>
        <w:rPr>
          <w:lang w:val="en-GB"/>
        </w:rPr>
      </w:pPr>
    </w:p>
    <w:p w:rsidR="00BA6001" w:rsidRPr="00BA6001" w:rsidRDefault="00D602AE" w:rsidP="00E57385">
      <w:pPr>
        <w:jc w:val="both"/>
        <w:rPr>
          <w:sz w:val="20"/>
          <w:lang w:val="en-GB"/>
        </w:rPr>
      </w:pPr>
      <w:r>
        <w:rPr>
          <w:noProof/>
          <w:sz w:val="20"/>
        </w:rPr>
        <w:pict>
          <v:shape id="_x0000_s1126" type="#_x0000_t75" style="position:absolute;left:0;text-align:left;margin-left:26.95pt;margin-top:0;width:30.6pt;height:15.05pt;z-index:-251645952;mso-position-horizontal:absolute;mso-position-horizontal-relative:text;mso-position-vertical:absolute;mso-position-vertical-relative:text">
            <v:imagedata r:id="rId22" o:title=""/>
          </v:shape>
          <o:OLEObject Type="Embed" ProgID="Equation.3" ShapeID="_x0000_s1126" DrawAspect="Content" ObjectID="_1532520391" r:id="rId23"/>
        </w:pict>
      </w:r>
      <w:proofErr w:type="gramStart"/>
      <w:r w:rsidR="00BA6001" w:rsidRPr="00BA6001">
        <w:rPr>
          <w:sz w:val="20"/>
          <w:lang w:val="en-GB"/>
        </w:rPr>
        <w:t>where</w:t>
      </w:r>
      <w:proofErr w:type="gramEnd"/>
      <w:r w:rsidR="00BA6001" w:rsidRPr="00BA6001">
        <w:rPr>
          <w:sz w:val="20"/>
          <w:lang w:val="en-GB"/>
        </w:rPr>
        <w:t xml:space="preserve"> </w:t>
      </w:r>
      <w:r w:rsidR="001F0B7F">
        <w:rPr>
          <w:sz w:val="20"/>
          <w:lang w:val="en-GB"/>
        </w:rPr>
        <w:t xml:space="preserve">           </w:t>
      </w:r>
      <w:r w:rsidR="00BA6001" w:rsidRPr="00BA6001">
        <w:rPr>
          <w:sz w:val="20"/>
          <w:lang w:val="en-GB"/>
        </w:rPr>
        <w:t>was calculated as the uncertainty weigh</w:t>
      </w:r>
      <w:r w:rsidR="004D720E">
        <w:rPr>
          <w:sz w:val="20"/>
          <w:lang w:val="en-GB"/>
        </w:rPr>
        <w:t>t</w:t>
      </w:r>
      <w:r w:rsidR="00BA6001" w:rsidRPr="00BA6001">
        <w:rPr>
          <w:sz w:val="20"/>
          <w:lang w:val="en-GB"/>
        </w:rPr>
        <w:t>ed mean of NMISA1 and NMISA2 measurements according to [2].</w:t>
      </w:r>
    </w:p>
    <w:p w:rsidR="00BA6001" w:rsidRPr="00BA6001" w:rsidRDefault="00BA6001" w:rsidP="00E57385">
      <w:pPr>
        <w:jc w:val="both"/>
        <w:rPr>
          <w:lang w:val="en-GB"/>
        </w:rPr>
      </w:pPr>
    </w:p>
    <w:p w:rsidR="00BA6001" w:rsidRPr="00BA6001" w:rsidRDefault="00BA6001" w:rsidP="00E57385">
      <w:pPr>
        <w:jc w:val="both"/>
        <w:rPr>
          <w:sz w:val="20"/>
          <w:lang w:val="en-GB"/>
        </w:rPr>
      </w:pPr>
      <w:r w:rsidRPr="00BA6001">
        <w:rPr>
          <w:sz w:val="20"/>
          <w:lang w:val="en-GB"/>
        </w:rPr>
        <w:t>The uncertainty of the difference was calculated as:</w:t>
      </w:r>
    </w:p>
    <w:p w:rsidR="00BA6001" w:rsidRPr="00BA6001" w:rsidRDefault="00BA6001" w:rsidP="00E57385">
      <w:pPr>
        <w:jc w:val="both"/>
        <w:rPr>
          <w:lang w:val="en-GB"/>
        </w:rPr>
      </w:pPr>
    </w:p>
    <w:p w:rsidR="00BA6001" w:rsidRPr="00BA6001" w:rsidRDefault="00A976FE" w:rsidP="00E57385">
      <w:pPr>
        <w:jc w:val="both"/>
        <w:rPr>
          <w:sz w:val="20"/>
          <w:lang w:val="en-GB"/>
        </w:rPr>
      </w:pPr>
      <w:r>
        <w:rPr>
          <w:sz w:val="20"/>
          <w:lang w:val="en-GB"/>
        </w:rPr>
        <w:t xml:space="preserve">    </w:t>
      </w:r>
      <w:r w:rsidR="001F0B7F" w:rsidRPr="00E904C5">
        <w:rPr>
          <w:sz w:val="20"/>
          <w:lang w:val="en-GB"/>
        </w:rPr>
        <w:object w:dxaOrig="3879" w:dyaOrig="380">
          <v:shape id="_x0000_i1027" type="#_x0000_t75" style="width:152.75pt;height:15.05pt" o:ole="">
            <v:imagedata r:id="rId24" o:title=""/>
          </v:shape>
          <o:OLEObject Type="Embed" ProgID="Equation.3" ShapeID="_x0000_i1027" DrawAspect="Content" ObjectID="_1532520384" r:id="rId25"/>
        </w:object>
      </w:r>
      <w:r>
        <w:rPr>
          <w:sz w:val="20"/>
        </w:rPr>
        <w:t>,</w:t>
      </w:r>
      <w:r w:rsidR="00E904C5">
        <w:rPr>
          <w:sz w:val="20"/>
        </w:rPr>
        <w:t xml:space="preserve"> </w:t>
      </w:r>
      <w:r w:rsidR="001F0B7F">
        <w:rPr>
          <w:sz w:val="20"/>
        </w:rPr>
        <w:t xml:space="preserve">    </w:t>
      </w:r>
      <w:r w:rsidR="001F0B7F">
        <w:rPr>
          <w:sz w:val="20"/>
        </w:rPr>
        <w:tab/>
      </w:r>
      <w:r>
        <w:rPr>
          <w:sz w:val="20"/>
          <w:lang w:val="en-GB"/>
        </w:rPr>
        <w:t xml:space="preserve"> </w:t>
      </w:r>
      <w:r w:rsidR="00E904C5">
        <w:rPr>
          <w:sz w:val="20"/>
          <w:lang w:val="en-GB"/>
        </w:rPr>
        <w:t xml:space="preserve"> </w:t>
      </w:r>
      <w:r w:rsidR="001F0B7F">
        <w:rPr>
          <w:sz w:val="20"/>
          <w:lang w:val="en-GB"/>
        </w:rPr>
        <w:t xml:space="preserve">            </w:t>
      </w:r>
      <w:r>
        <w:rPr>
          <w:sz w:val="20"/>
          <w:lang w:val="en-GB"/>
        </w:rPr>
        <w:t xml:space="preserve">(3)                </w:t>
      </w:r>
    </w:p>
    <w:p w:rsidR="00BA6001" w:rsidRPr="00BA6001" w:rsidRDefault="00BA6001" w:rsidP="00E57385">
      <w:pPr>
        <w:jc w:val="both"/>
        <w:rPr>
          <w:sz w:val="20"/>
          <w:lang w:val="en-GB"/>
        </w:rPr>
      </w:pPr>
    </w:p>
    <w:p w:rsidR="00BA6001" w:rsidRDefault="00BA6001" w:rsidP="00E57385">
      <w:pPr>
        <w:jc w:val="both"/>
        <w:rPr>
          <w:sz w:val="20"/>
          <w:lang w:val="en-GB"/>
        </w:rPr>
      </w:pPr>
      <w:r w:rsidRPr="00BA6001">
        <w:rPr>
          <w:sz w:val="20"/>
          <w:lang w:val="en-GB"/>
        </w:rPr>
        <w:t xml:space="preserve">The drift </w:t>
      </w:r>
      <w:proofErr w:type="spellStart"/>
      <w:r w:rsidRPr="00BA6001">
        <w:rPr>
          <w:i/>
          <w:sz w:val="20"/>
          <w:lang w:val="en-GB"/>
        </w:rPr>
        <w:t>u</w:t>
      </w:r>
      <w:r w:rsidRPr="00BA6001">
        <w:rPr>
          <w:i/>
          <w:sz w:val="20"/>
          <w:vertAlign w:val="subscript"/>
          <w:lang w:val="en-GB"/>
        </w:rPr>
        <w:t>drift</w:t>
      </w:r>
      <w:proofErr w:type="spellEnd"/>
      <w:r w:rsidRPr="00BA6001">
        <w:rPr>
          <w:sz w:val="20"/>
          <w:lang w:val="en-GB"/>
        </w:rPr>
        <w:t xml:space="preserve"> was determined as the largest difference between the weigh</w:t>
      </w:r>
      <w:r w:rsidR="009F36BA">
        <w:rPr>
          <w:sz w:val="20"/>
          <w:lang w:val="en-GB"/>
        </w:rPr>
        <w:t>t</w:t>
      </w:r>
      <w:r w:rsidRPr="00BA6001">
        <w:rPr>
          <w:sz w:val="20"/>
          <w:lang w:val="en-GB"/>
        </w:rPr>
        <w:t>ed mean of the NMISA measurements and one single measurement assuming a rectangular probability distribution:</w:t>
      </w:r>
    </w:p>
    <w:p w:rsidR="002C0D6A" w:rsidRPr="00280822" w:rsidRDefault="00CD7343" w:rsidP="00E57385">
      <w:pPr>
        <w:jc w:val="both"/>
        <w:rPr>
          <w:sz w:val="20"/>
          <w:lang w:val="en-GB"/>
        </w:rPr>
      </w:pPr>
      <w:r>
        <w:rPr>
          <w:lang w:val="en-GB"/>
        </w:rPr>
        <w:t xml:space="preserve">                                                             </w:t>
      </w:r>
      <w:r w:rsidR="00F85B55">
        <w:rPr>
          <w:sz w:val="20"/>
          <w:lang w:val="en-GB"/>
        </w:rPr>
        <w:t xml:space="preserve">      </w:t>
      </w:r>
      <w:r w:rsidR="00220028">
        <w:rPr>
          <w:sz w:val="20"/>
          <w:lang w:val="en-GB"/>
        </w:rPr>
        <w:t xml:space="preserve">   </w:t>
      </w:r>
      <w:r w:rsidR="00F85B55">
        <w:rPr>
          <w:lang w:val="en-GB"/>
        </w:rPr>
        <w:t xml:space="preserve">        </w:t>
      </w:r>
    </w:p>
    <w:p w:rsidR="00F85B55" w:rsidRDefault="00A151D7" w:rsidP="00E57385">
      <w:pPr>
        <w:jc w:val="both"/>
        <w:rPr>
          <w:sz w:val="20"/>
          <w:lang w:val="en-GB"/>
        </w:rPr>
      </w:pPr>
      <w:r w:rsidRPr="00AA7786">
        <w:rPr>
          <w:position w:val="-16"/>
          <w:sz w:val="20"/>
          <w:lang w:val="en-GB"/>
        </w:rPr>
        <w:object w:dxaOrig="5500" w:dyaOrig="440">
          <v:shape id="_x0000_i1028" type="#_x0000_t75" style="width:229.15pt;height:18.15pt" o:ole="">
            <v:imagedata r:id="rId26" o:title=""/>
          </v:shape>
          <o:OLEObject Type="Embed" ProgID="Equation.3" ShapeID="_x0000_i1028" DrawAspect="Content" ObjectID="_1532520385" r:id="rId27"/>
        </w:object>
      </w:r>
      <w:r w:rsidR="00D77426">
        <w:rPr>
          <w:sz w:val="20"/>
          <w:lang w:val="en-GB"/>
        </w:rPr>
        <w:t xml:space="preserve">                                                                                      (4)</w:t>
      </w:r>
    </w:p>
    <w:p w:rsidR="00D77426" w:rsidRPr="00BA6001" w:rsidRDefault="00D77426" w:rsidP="00E57385">
      <w:pPr>
        <w:jc w:val="both"/>
        <w:rPr>
          <w:lang w:val="en-GB"/>
        </w:rPr>
      </w:pPr>
    </w:p>
    <w:p w:rsidR="00E904C5" w:rsidRPr="00E904C5" w:rsidRDefault="001E0E8F" w:rsidP="00E57385">
      <w:pPr>
        <w:jc w:val="both"/>
        <w:rPr>
          <w:i/>
          <w:sz w:val="20"/>
        </w:rPr>
      </w:pPr>
      <w:r>
        <w:rPr>
          <w:i/>
          <w:sz w:val="20"/>
        </w:rPr>
        <w:t>5</w:t>
      </w:r>
      <w:r w:rsidR="00E904C5" w:rsidRPr="00E904C5">
        <w:rPr>
          <w:i/>
          <w:sz w:val="20"/>
        </w:rPr>
        <w:t>.</w:t>
      </w:r>
      <w:r w:rsidR="00E904C5">
        <w:rPr>
          <w:i/>
          <w:sz w:val="20"/>
        </w:rPr>
        <w:t>1</w:t>
      </w:r>
      <w:r w:rsidR="00E904C5" w:rsidRPr="00E904C5">
        <w:rPr>
          <w:i/>
          <w:sz w:val="20"/>
        </w:rPr>
        <w:t xml:space="preserve"> </w:t>
      </w:r>
      <w:r w:rsidR="00E904C5" w:rsidRPr="00E904C5">
        <w:rPr>
          <w:i/>
          <w:sz w:val="20"/>
          <w:lang w:val="en-GB"/>
        </w:rPr>
        <w:t>Significance of the observed differences</w:t>
      </w:r>
    </w:p>
    <w:p w:rsidR="00BA6001" w:rsidRPr="00E904C5" w:rsidRDefault="00BA6001" w:rsidP="00E57385">
      <w:pPr>
        <w:jc w:val="both"/>
        <w:rPr>
          <w:sz w:val="20"/>
          <w:lang w:val="en-GB"/>
        </w:rPr>
      </w:pPr>
      <w:r w:rsidRPr="00E904C5">
        <w:rPr>
          <w:sz w:val="20"/>
          <w:lang w:val="en-GB"/>
        </w:rPr>
        <w:t>To analyse the significance of the differences calculated with equation (2), normalized error values (</w:t>
      </w:r>
      <w:r w:rsidRPr="00E904C5">
        <w:rPr>
          <w:i/>
          <w:sz w:val="20"/>
          <w:lang w:val="en-GB"/>
        </w:rPr>
        <w:t>E</w:t>
      </w:r>
      <w:r w:rsidRPr="00E904C5">
        <w:rPr>
          <w:sz w:val="20"/>
          <w:vertAlign w:val="subscript"/>
          <w:lang w:val="en-GB"/>
        </w:rPr>
        <w:t>n</w:t>
      </w:r>
      <w:r w:rsidRPr="00E904C5">
        <w:rPr>
          <w:sz w:val="20"/>
          <w:lang w:val="en-GB"/>
        </w:rPr>
        <w:t>) were calculated by dividing the difference with its expanded uncertainty (</w:t>
      </w:r>
      <w:r w:rsidRPr="00E904C5">
        <w:rPr>
          <w:i/>
          <w:sz w:val="20"/>
          <w:lang w:val="en-GB"/>
        </w:rPr>
        <w:t>k</w:t>
      </w:r>
      <w:r w:rsidRPr="00E904C5">
        <w:rPr>
          <w:sz w:val="20"/>
          <w:lang w:val="en-GB"/>
        </w:rPr>
        <w:t>=2)</w:t>
      </w:r>
    </w:p>
    <w:p w:rsidR="00BA6001" w:rsidRPr="00E904C5" w:rsidRDefault="00BA6001" w:rsidP="00BA6001">
      <w:pPr>
        <w:rPr>
          <w:sz w:val="20"/>
          <w:lang w:val="en-GB"/>
        </w:rPr>
      </w:pPr>
    </w:p>
    <w:p w:rsidR="00BA6001" w:rsidRPr="00E904C5" w:rsidRDefault="00D602AE" w:rsidP="00CD7343">
      <w:pPr>
        <w:ind w:left="720" w:firstLine="720"/>
        <w:rPr>
          <w:sz w:val="20"/>
          <w:lang w:val="en-GB"/>
        </w:rPr>
      </w:pPr>
      <w:r>
        <w:rPr>
          <w:noProof/>
          <w:sz w:val="20"/>
        </w:rPr>
        <w:pict>
          <v:shape id="_x0000_s1134" type="#_x0000_t75" style="position:absolute;left:0;text-align:left;margin-left:36.3pt;margin-top:.3pt;width:118.35pt;height:27.25pt;z-index:251678720;mso-position-horizontal:absolute;mso-position-horizontal-relative:text;mso-position-vertical:absolute;mso-position-vertical-relative:text" wrapcoords="5468 1800 820 6000 137 7200 137 13200 5742 19200 7246 19200 20096 19200 21327 18600 21463 9000 16132 1800 5468 1800" o:allowoverlap="f">
            <v:imagedata r:id="rId28" o:title=""/>
            <w10:wrap type="tight"/>
          </v:shape>
          <o:OLEObject Type="Embed" ProgID="Equation.3" ShapeID="_x0000_s1134" DrawAspect="Content" ObjectID="_1532520392" r:id="rId29"/>
        </w:pict>
      </w:r>
      <w:r w:rsidR="00E904C5">
        <w:rPr>
          <w:sz w:val="20"/>
        </w:rPr>
        <w:t xml:space="preserve">     </w:t>
      </w:r>
      <w:r w:rsidR="001F0B7F">
        <w:rPr>
          <w:sz w:val="20"/>
        </w:rPr>
        <w:t xml:space="preserve">,                   </w:t>
      </w:r>
      <w:r w:rsidR="00E904C5">
        <w:rPr>
          <w:sz w:val="20"/>
        </w:rPr>
        <w:t>(5)</w:t>
      </w:r>
      <w:r w:rsidR="00BA6001" w:rsidRPr="00E904C5">
        <w:rPr>
          <w:sz w:val="20"/>
          <w:lang w:val="en-GB"/>
        </w:rPr>
        <w:tab/>
      </w:r>
      <w:r w:rsidR="00BA6001" w:rsidRPr="00E904C5">
        <w:rPr>
          <w:sz w:val="20"/>
          <w:lang w:val="en-GB"/>
        </w:rPr>
        <w:tab/>
      </w:r>
      <w:r w:rsidR="00BA6001" w:rsidRPr="00E904C5">
        <w:rPr>
          <w:sz w:val="20"/>
          <w:lang w:val="en-GB"/>
        </w:rPr>
        <w:lastRenderedPageBreak/>
        <w:tab/>
      </w:r>
      <w:r w:rsidR="00BA6001" w:rsidRPr="00E904C5">
        <w:rPr>
          <w:sz w:val="20"/>
          <w:lang w:val="en-GB"/>
        </w:rPr>
        <w:tab/>
      </w:r>
    </w:p>
    <w:p w:rsidR="00BA6001" w:rsidRPr="00E904C5" w:rsidRDefault="00BA6001" w:rsidP="00E57385">
      <w:pPr>
        <w:jc w:val="both"/>
        <w:rPr>
          <w:sz w:val="20"/>
          <w:lang w:val="en-GB"/>
        </w:rPr>
      </w:pPr>
      <w:r w:rsidRPr="00E904C5">
        <w:rPr>
          <w:sz w:val="20"/>
          <w:lang w:val="en-GB"/>
        </w:rPr>
        <w:t xml:space="preserve">If -1 &lt; </w:t>
      </w:r>
      <w:r w:rsidRPr="00E904C5">
        <w:rPr>
          <w:i/>
          <w:sz w:val="20"/>
          <w:lang w:val="en-GB"/>
        </w:rPr>
        <w:t>E</w:t>
      </w:r>
      <w:r w:rsidRPr="00E904C5">
        <w:rPr>
          <w:sz w:val="20"/>
          <w:vertAlign w:val="subscript"/>
          <w:lang w:val="en-GB"/>
        </w:rPr>
        <w:t>n</w:t>
      </w:r>
      <w:r w:rsidRPr="00E904C5">
        <w:rPr>
          <w:sz w:val="20"/>
          <w:lang w:val="en-GB"/>
        </w:rPr>
        <w:t xml:space="preserve"> &lt; 1, the estimate for the difference is smaller than its expanded uncertainty. In this case, there is no statistically significant difference between the results obtained by the reference laboratory and the participating laboratory. </w:t>
      </w:r>
    </w:p>
    <w:p w:rsidR="00BA6001" w:rsidRDefault="00BA6001" w:rsidP="00BA6001">
      <w:pPr>
        <w:rPr>
          <w:sz w:val="20"/>
        </w:rPr>
      </w:pPr>
    </w:p>
    <w:p w:rsidR="007C348B" w:rsidRPr="007C348B" w:rsidRDefault="001E0E8F" w:rsidP="007C348B">
      <w:pPr>
        <w:rPr>
          <w:bCs/>
          <w:i/>
          <w:sz w:val="20"/>
          <w:lang w:val="en-GB"/>
        </w:rPr>
      </w:pPr>
      <w:r>
        <w:rPr>
          <w:bCs/>
          <w:i/>
          <w:sz w:val="20"/>
          <w:lang w:val="en-GB"/>
        </w:rPr>
        <w:t>5</w:t>
      </w:r>
      <w:r w:rsidR="007C348B" w:rsidRPr="007C348B">
        <w:rPr>
          <w:bCs/>
          <w:i/>
          <w:sz w:val="20"/>
          <w:lang w:val="en-GB"/>
        </w:rPr>
        <w:t>.2 Drift of the transfer standards</w:t>
      </w:r>
    </w:p>
    <w:p w:rsidR="007C348B" w:rsidRDefault="007C348B" w:rsidP="004E7FBC">
      <w:pPr>
        <w:jc w:val="both"/>
        <w:rPr>
          <w:sz w:val="20"/>
          <w:lang w:val="en-GB"/>
        </w:rPr>
      </w:pPr>
      <w:r w:rsidRPr="007C348B">
        <w:rPr>
          <w:sz w:val="20"/>
          <w:lang w:val="en-GB"/>
        </w:rPr>
        <w:t xml:space="preserve">The drift of the transfer standards during this comparison was studied by comparing the results of the measurement sets at NMISA to each other. Figure </w:t>
      </w:r>
      <w:proofErr w:type="gramStart"/>
      <w:r>
        <w:rPr>
          <w:sz w:val="20"/>
          <w:lang w:val="en-GB"/>
        </w:rPr>
        <w:t>2</w:t>
      </w:r>
      <w:r w:rsidRPr="007C348B">
        <w:rPr>
          <w:sz w:val="20"/>
          <w:lang w:val="en-GB"/>
        </w:rPr>
        <w:t xml:space="preserve">  show</w:t>
      </w:r>
      <w:r w:rsidR="004E7FBC">
        <w:rPr>
          <w:sz w:val="20"/>
          <w:lang w:val="en-GB"/>
        </w:rPr>
        <w:t>s</w:t>
      </w:r>
      <w:proofErr w:type="gramEnd"/>
      <w:r w:rsidRPr="007C348B">
        <w:rPr>
          <w:sz w:val="20"/>
          <w:lang w:val="en-GB"/>
        </w:rPr>
        <w:t xml:space="preserve"> the relative calibration corrections for both measurement sets.</w:t>
      </w:r>
    </w:p>
    <w:p w:rsidR="00B52117" w:rsidRDefault="00B52117" w:rsidP="004E7FBC">
      <w:pPr>
        <w:jc w:val="both"/>
        <w:rPr>
          <w:sz w:val="20"/>
          <w:lang w:val="en-GB"/>
        </w:rPr>
      </w:pPr>
    </w:p>
    <w:p w:rsidR="00150189" w:rsidRDefault="00150189" w:rsidP="004E7FBC">
      <w:pPr>
        <w:jc w:val="both"/>
        <w:rPr>
          <w:noProof/>
          <w:lang w:val="fi-FI" w:eastAsia="fi-FI"/>
        </w:rPr>
      </w:pPr>
      <w:r>
        <w:rPr>
          <w:noProof/>
          <w:lang w:val="en-ZA" w:eastAsia="en-ZA"/>
        </w:rPr>
        <w:drawing>
          <wp:inline distT="0" distB="0" distL="0" distR="0" wp14:anchorId="444CCBD5" wp14:editId="51347A1A">
            <wp:extent cx="2930400" cy="2070000"/>
            <wp:effectExtent l="0" t="0" r="381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30400" cy="2070000"/>
                    </a:xfrm>
                    <a:prstGeom prst="rect">
                      <a:avLst/>
                    </a:prstGeom>
                    <a:noFill/>
                  </pic:spPr>
                </pic:pic>
              </a:graphicData>
            </a:graphic>
          </wp:inline>
        </w:drawing>
      </w:r>
    </w:p>
    <w:p w:rsidR="00B52117" w:rsidRDefault="00B52117" w:rsidP="004E7FBC">
      <w:pPr>
        <w:jc w:val="both"/>
        <w:rPr>
          <w:sz w:val="20"/>
          <w:lang w:val="en-GB"/>
        </w:rPr>
      </w:pPr>
    </w:p>
    <w:p w:rsidR="00B52117" w:rsidRDefault="00B52117" w:rsidP="004E7FBC">
      <w:pPr>
        <w:jc w:val="both"/>
        <w:rPr>
          <w:sz w:val="20"/>
          <w:lang w:val="en-GB"/>
        </w:rPr>
      </w:pPr>
    </w:p>
    <w:p w:rsidR="00B52117" w:rsidRDefault="00B52117" w:rsidP="00B52117">
      <w:pPr>
        <w:jc w:val="both"/>
        <w:rPr>
          <w:sz w:val="16"/>
          <w:szCs w:val="16"/>
          <w:lang w:val="en-GB"/>
        </w:rPr>
      </w:pPr>
      <w:r w:rsidRPr="00CA7CD0">
        <w:rPr>
          <w:b/>
          <w:sz w:val="16"/>
          <w:szCs w:val="16"/>
          <w:lang w:val="en-GB"/>
        </w:rPr>
        <w:t xml:space="preserve">Figure </w:t>
      </w:r>
      <w:r>
        <w:rPr>
          <w:b/>
          <w:sz w:val="16"/>
          <w:szCs w:val="16"/>
          <w:lang w:val="en-GB"/>
        </w:rPr>
        <w:t>2:</w:t>
      </w:r>
      <w:r w:rsidRPr="00CA7CD0">
        <w:rPr>
          <w:sz w:val="16"/>
          <w:szCs w:val="16"/>
          <w:lang w:val="en-GB"/>
        </w:rPr>
        <w:t xml:space="preserve"> Calibration corrections determined in NMISA1 and NMISA2 for transfer standard</w:t>
      </w:r>
      <w:r w:rsidR="0002104D">
        <w:rPr>
          <w:sz w:val="16"/>
          <w:szCs w:val="16"/>
          <w:lang w:val="en-GB"/>
        </w:rPr>
        <w:t>s</w:t>
      </w:r>
      <w:r w:rsidRPr="00CA7CD0">
        <w:rPr>
          <w:sz w:val="16"/>
          <w:szCs w:val="16"/>
          <w:lang w:val="en-GB"/>
        </w:rPr>
        <w:t xml:space="preserve"> </w:t>
      </w:r>
      <w:proofErr w:type="gramStart"/>
      <w:r w:rsidRPr="00CA7CD0">
        <w:rPr>
          <w:sz w:val="16"/>
          <w:szCs w:val="16"/>
          <w:lang w:val="en-GB"/>
        </w:rPr>
        <w:t>MFC(</w:t>
      </w:r>
      <w:proofErr w:type="gramEnd"/>
      <w:r w:rsidRPr="00CA7CD0">
        <w:rPr>
          <w:sz w:val="16"/>
          <w:szCs w:val="16"/>
          <w:lang w:val="en-GB"/>
        </w:rPr>
        <w:t>1)</w:t>
      </w:r>
      <w:r w:rsidR="00512DC8">
        <w:rPr>
          <w:sz w:val="16"/>
          <w:szCs w:val="16"/>
          <w:lang w:val="en-GB"/>
        </w:rPr>
        <w:t>, MFC(2), MFC(3), MFC(4)</w:t>
      </w:r>
      <w:r w:rsidRPr="00CA7CD0">
        <w:rPr>
          <w:sz w:val="16"/>
          <w:szCs w:val="16"/>
          <w:lang w:val="en-GB"/>
        </w:rPr>
        <w:t>. Error bars show the estimated expanded uncertainty (</w:t>
      </w:r>
      <w:r w:rsidRPr="00CA7CD0">
        <w:rPr>
          <w:i/>
          <w:sz w:val="16"/>
          <w:szCs w:val="16"/>
          <w:lang w:val="en-GB"/>
        </w:rPr>
        <w:t>k</w:t>
      </w:r>
      <w:r w:rsidRPr="00CA7CD0">
        <w:rPr>
          <w:sz w:val="16"/>
          <w:szCs w:val="16"/>
          <w:lang w:val="en-GB"/>
        </w:rPr>
        <w:t xml:space="preserve"> = 2).</w:t>
      </w:r>
    </w:p>
    <w:p w:rsidR="00026E0A" w:rsidRPr="00026E0A" w:rsidRDefault="00026E0A" w:rsidP="00B52117">
      <w:pPr>
        <w:jc w:val="both"/>
        <w:rPr>
          <w:sz w:val="16"/>
          <w:szCs w:val="16"/>
          <w:lang w:val="en-GB"/>
        </w:rPr>
      </w:pPr>
      <w:r w:rsidRPr="00026E0A">
        <w:rPr>
          <w:sz w:val="16"/>
          <w:szCs w:val="16"/>
          <w:lang w:val="en-GB"/>
        </w:rPr>
        <w:t>NOTE: x-axis values are adjusted in order to avoid overlap of symbols</w:t>
      </w:r>
      <w:r w:rsidR="00DB534E">
        <w:rPr>
          <w:sz w:val="16"/>
          <w:szCs w:val="16"/>
          <w:lang w:val="en-GB"/>
        </w:rPr>
        <w:t>.</w:t>
      </w:r>
      <w:r w:rsidRPr="00026E0A">
        <w:rPr>
          <w:sz w:val="16"/>
          <w:szCs w:val="16"/>
          <w:lang w:val="en-GB"/>
        </w:rPr>
        <w:t xml:space="preserve"> </w:t>
      </w:r>
    </w:p>
    <w:p w:rsidR="00B52117" w:rsidRDefault="00B52117" w:rsidP="004E7FBC">
      <w:pPr>
        <w:jc w:val="both"/>
        <w:rPr>
          <w:sz w:val="20"/>
          <w:lang w:val="en-GB"/>
        </w:rPr>
      </w:pPr>
    </w:p>
    <w:p w:rsidR="0067233A" w:rsidRDefault="0067233A" w:rsidP="0067233A">
      <w:pPr>
        <w:pStyle w:val="BodyText"/>
        <w:rPr>
          <w:lang w:val="en-GB"/>
        </w:rPr>
      </w:pPr>
      <w:r w:rsidRPr="00287A1D">
        <w:rPr>
          <w:lang w:val="en-GB"/>
        </w:rPr>
        <w:t>The drift was generally less than the measurement uncertainty for all transfer standards and therefore no corrections were made to the results. Instead, the drift was included in the uncertainty of the NMISA results</w:t>
      </w:r>
      <w:r w:rsidR="00553D4A">
        <w:rPr>
          <w:lang w:val="en-GB"/>
        </w:rPr>
        <w:t xml:space="preserve"> [1]</w:t>
      </w:r>
      <w:r w:rsidRPr="00287A1D">
        <w:rPr>
          <w:lang w:val="en-GB"/>
        </w:rPr>
        <w:t>.</w:t>
      </w:r>
      <w:r w:rsidR="007A3405">
        <w:rPr>
          <w:lang w:val="en-GB"/>
        </w:rPr>
        <w:t xml:space="preserve"> The differences in the uncertainties for the NMISA1 and NMISA2 measurements were </w:t>
      </w:r>
      <w:r w:rsidR="00C41D9F">
        <w:rPr>
          <w:lang w:val="en-GB"/>
        </w:rPr>
        <w:t>due to</w:t>
      </w:r>
      <w:r w:rsidR="007A3405">
        <w:rPr>
          <w:lang w:val="en-GB"/>
        </w:rPr>
        <w:t xml:space="preserve"> </w:t>
      </w:r>
      <w:bookmarkStart w:id="0" w:name="_GoBack"/>
      <w:bookmarkEnd w:id="0"/>
      <w:r w:rsidR="007A3405">
        <w:rPr>
          <w:lang w:val="en-GB"/>
        </w:rPr>
        <w:t>poor rep</w:t>
      </w:r>
      <w:r w:rsidR="00AC3753">
        <w:rPr>
          <w:lang w:val="en-GB"/>
        </w:rPr>
        <w:t>roducibility</w:t>
      </w:r>
      <w:r w:rsidR="007A3405">
        <w:rPr>
          <w:lang w:val="en-GB"/>
        </w:rPr>
        <w:t xml:space="preserve"> between the two </w:t>
      </w:r>
      <w:r w:rsidR="00C41D9F">
        <w:rPr>
          <w:lang w:val="en-GB"/>
        </w:rPr>
        <w:t>sets of measurements</w:t>
      </w:r>
      <w:r w:rsidR="007A3405">
        <w:rPr>
          <w:lang w:val="en-GB"/>
        </w:rPr>
        <w:t xml:space="preserve">.  </w:t>
      </w:r>
    </w:p>
    <w:p w:rsidR="0080231B" w:rsidRDefault="0080231B" w:rsidP="0067233A">
      <w:pPr>
        <w:pStyle w:val="BodyText"/>
        <w:rPr>
          <w:lang w:val="en-GB"/>
        </w:rPr>
      </w:pPr>
    </w:p>
    <w:p w:rsidR="0080231B" w:rsidRDefault="0080231B" w:rsidP="0080231B">
      <w:pPr>
        <w:pStyle w:val="Heading1"/>
      </w:pPr>
      <w:r>
        <w:t>6. Comparison results</w:t>
      </w:r>
    </w:p>
    <w:p w:rsidR="002A096C" w:rsidRPr="002A096C" w:rsidRDefault="002A096C" w:rsidP="002A096C"/>
    <w:p w:rsidR="0080231B" w:rsidRDefault="0080231B" w:rsidP="0080231B">
      <w:pPr>
        <w:pStyle w:val="BodyText"/>
        <w:rPr>
          <w:lang w:val="en-GB"/>
        </w:rPr>
      </w:pPr>
      <w:r w:rsidRPr="009C2442">
        <w:rPr>
          <w:lang w:val="en-GB"/>
        </w:rPr>
        <w:t xml:space="preserve">Results of the laboratories are shown in </w:t>
      </w:r>
      <w:r w:rsidR="004728F9">
        <w:rPr>
          <w:lang w:val="en-GB"/>
        </w:rPr>
        <w:t xml:space="preserve">table 1 and </w:t>
      </w:r>
      <w:r w:rsidRPr="009C2442">
        <w:rPr>
          <w:lang w:val="en-GB"/>
        </w:rPr>
        <w:t xml:space="preserve">figures </w:t>
      </w:r>
      <w:r>
        <w:rPr>
          <w:lang w:val="en-GB"/>
        </w:rPr>
        <w:t>3</w:t>
      </w:r>
      <w:r w:rsidRPr="009C2442">
        <w:rPr>
          <w:lang w:val="en-GB"/>
        </w:rPr>
        <w:t xml:space="preserve"> to </w:t>
      </w:r>
      <w:r>
        <w:rPr>
          <w:lang w:val="en-GB"/>
        </w:rPr>
        <w:t>6</w:t>
      </w:r>
      <w:r w:rsidRPr="009C2442">
        <w:rPr>
          <w:lang w:val="en-GB"/>
        </w:rPr>
        <w:t>. The uncertainty due to drift of the transfer standards is included in the NMISA results.</w:t>
      </w:r>
    </w:p>
    <w:p w:rsidR="002A096C" w:rsidRDefault="002A096C" w:rsidP="0080231B">
      <w:pPr>
        <w:pStyle w:val="BodyText"/>
        <w:rPr>
          <w:lang w:val="en-GB"/>
        </w:rPr>
      </w:pPr>
    </w:p>
    <w:p w:rsidR="00150189" w:rsidRDefault="00150189">
      <w:pPr>
        <w:rPr>
          <w:b/>
          <w:sz w:val="16"/>
          <w:szCs w:val="16"/>
          <w:lang w:val="en-GB"/>
        </w:rPr>
      </w:pPr>
      <w:r>
        <w:rPr>
          <w:b/>
          <w:sz w:val="16"/>
          <w:szCs w:val="16"/>
          <w:lang w:val="en-GB"/>
        </w:rPr>
        <w:br w:type="page"/>
      </w:r>
    </w:p>
    <w:p w:rsidR="007723ED" w:rsidRPr="00661585" w:rsidRDefault="007723ED" w:rsidP="007723ED">
      <w:pPr>
        <w:pStyle w:val="BodyText"/>
        <w:rPr>
          <w:sz w:val="16"/>
          <w:szCs w:val="16"/>
          <w:lang w:val="en-GB"/>
        </w:rPr>
      </w:pPr>
      <w:proofErr w:type="gramStart"/>
      <w:r w:rsidRPr="00661585">
        <w:rPr>
          <w:b/>
          <w:sz w:val="16"/>
          <w:szCs w:val="16"/>
          <w:lang w:val="en-GB"/>
        </w:rPr>
        <w:lastRenderedPageBreak/>
        <w:t xml:space="preserve">Table </w:t>
      </w:r>
      <w:r w:rsidR="001656FC">
        <w:rPr>
          <w:b/>
          <w:sz w:val="16"/>
          <w:szCs w:val="16"/>
          <w:lang w:val="en-GB"/>
        </w:rPr>
        <w:t>1</w:t>
      </w:r>
      <w:r w:rsidRPr="00661585">
        <w:rPr>
          <w:b/>
          <w:sz w:val="16"/>
          <w:szCs w:val="16"/>
          <w:lang w:val="en-GB"/>
        </w:rPr>
        <w:t>:</w:t>
      </w:r>
      <w:r w:rsidRPr="00661585">
        <w:rPr>
          <w:sz w:val="16"/>
          <w:szCs w:val="16"/>
          <w:lang w:val="en-GB"/>
        </w:rPr>
        <w:t xml:space="preserve"> Final results of the comparison for MFC</w:t>
      </w:r>
      <w:r>
        <w:rPr>
          <w:sz w:val="16"/>
          <w:szCs w:val="16"/>
          <w:lang w:val="en-GB"/>
        </w:rPr>
        <w:t xml:space="preserve"> 1 to MFC 4.</w:t>
      </w:r>
      <w:proofErr w:type="gramEnd"/>
    </w:p>
    <w:p w:rsidR="007723ED" w:rsidRDefault="007723ED" w:rsidP="007723ED">
      <w:pPr>
        <w:pStyle w:val="BodyText"/>
        <w:rPr>
          <w:sz w:val="16"/>
          <w:szCs w:val="16"/>
          <w:lang w:val="en-GB"/>
        </w:rPr>
      </w:pPr>
      <w:r w:rsidRPr="00661585">
        <w:rPr>
          <w:sz w:val="16"/>
          <w:szCs w:val="16"/>
          <w:lang w:val="en-GB"/>
        </w:rPr>
        <w:t>Expanded uncertainties are given using a coverage factor of 2.</w:t>
      </w:r>
    </w:p>
    <w:p w:rsidR="007723ED" w:rsidRDefault="007723ED" w:rsidP="0080231B">
      <w:pPr>
        <w:pStyle w:val="BodyText"/>
        <w:rPr>
          <w:lang w:val="en-GB"/>
        </w:rPr>
      </w:pPr>
    </w:p>
    <w:p w:rsidR="005A6987" w:rsidRDefault="005A6987" w:rsidP="0080231B">
      <w:pPr>
        <w:pStyle w:val="BodyText"/>
        <w:rPr>
          <w:lang w:val="en-GB"/>
        </w:rPr>
      </w:pPr>
      <w:r w:rsidRPr="005A6987">
        <w:rPr>
          <w:noProof/>
          <w:lang w:val="en-ZA" w:eastAsia="en-ZA"/>
        </w:rPr>
        <w:drawing>
          <wp:inline distT="0" distB="0" distL="0" distR="0" wp14:anchorId="0446C8AF" wp14:editId="2A8DA4B6">
            <wp:extent cx="2880360" cy="2214097"/>
            <wp:effectExtent l="0" t="0" r="0" b="0"/>
            <wp:docPr id="1129" name="Picture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80360" cy="2214097"/>
                    </a:xfrm>
                    <a:prstGeom prst="rect">
                      <a:avLst/>
                    </a:prstGeom>
                    <a:noFill/>
                    <a:ln>
                      <a:noFill/>
                    </a:ln>
                  </pic:spPr>
                </pic:pic>
              </a:graphicData>
            </a:graphic>
          </wp:inline>
        </w:drawing>
      </w:r>
    </w:p>
    <w:p w:rsidR="003E061C" w:rsidRDefault="00180BCB" w:rsidP="004E7FBC">
      <w:pPr>
        <w:jc w:val="both"/>
        <w:rPr>
          <w:sz w:val="20"/>
          <w:lang w:val="en-GB"/>
        </w:rPr>
      </w:pPr>
      <w:r w:rsidRPr="00180BCB">
        <w:rPr>
          <w:noProof/>
          <w:lang w:val="en-ZA" w:eastAsia="en-ZA"/>
        </w:rPr>
        <w:drawing>
          <wp:inline distT="0" distB="0" distL="0" distR="0" wp14:anchorId="16F4AA5E" wp14:editId="4338A03B">
            <wp:extent cx="2880360" cy="18365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880360" cy="1836526"/>
                    </a:xfrm>
                    <a:prstGeom prst="rect">
                      <a:avLst/>
                    </a:prstGeom>
                  </pic:spPr>
                </pic:pic>
              </a:graphicData>
            </a:graphic>
          </wp:inline>
        </w:drawing>
      </w:r>
    </w:p>
    <w:p w:rsidR="002F3A38" w:rsidRDefault="002F3A38" w:rsidP="004E7FBC">
      <w:pPr>
        <w:jc w:val="both"/>
        <w:rPr>
          <w:sz w:val="20"/>
          <w:lang w:val="en-GB"/>
        </w:rPr>
      </w:pPr>
    </w:p>
    <w:p w:rsidR="002F3A38" w:rsidRDefault="002F3A38" w:rsidP="002F3A38">
      <w:pPr>
        <w:pStyle w:val="BodyText"/>
        <w:rPr>
          <w:sz w:val="16"/>
          <w:szCs w:val="16"/>
          <w:lang w:val="en-GB"/>
        </w:rPr>
      </w:pPr>
      <w:r w:rsidRPr="00DA260D">
        <w:rPr>
          <w:b/>
          <w:sz w:val="16"/>
          <w:szCs w:val="16"/>
          <w:lang w:val="en-GB"/>
        </w:rPr>
        <w:t xml:space="preserve">Figure </w:t>
      </w:r>
      <w:r>
        <w:rPr>
          <w:b/>
          <w:sz w:val="16"/>
          <w:szCs w:val="16"/>
          <w:lang w:val="en-GB"/>
        </w:rPr>
        <w:t>3</w:t>
      </w:r>
      <w:r w:rsidRPr="00DA260D">
        <w:rPr>
          <w:b/>
          <w:sz w:val="16"/>
          <w:szCs w:val="16"/>
          <w:lang w:val="en-GB"/>
        </w:rPr>
        <w:t>:</w:t>
      </w:r>
      <w:r w:rsidRPr="00DA260D">
        <w:rPr>
          <w:sz w:val="16"/>
          <w:szCs w:val="16"/>
          <w:lang w:val="en-GB"/>
        </w:rPr>
        <w:t xml:space="preserve"> Comparison results with transfer standard </w:t>
      </w:r>
      <w:proofErr w:type="gramStart"/>
      <w:r w:rsidRPr="00DA260D">
        <w:rPr>
          <w:sz w:val="16"/>
          <w:szCs w:val="16"/>
          <w:lang w:val="en-GB"/>
        </w:rPr>
        <w:t>MFC(</w:t>
      </w:r>
      <w:proofErr w:type="gramEnd"/>
      <w:r w:rsidRPr="00DA260D">
        <w:rPr>
          <w:sz w:val="16"/>
          <w:szCs w:val="16"/>
          <w:lang w:val="en-GB"/>
        </w:rPr>
        <w:t>1). Error bars show the estimated expanded uncertainty (</w:t>
      </w:r>
      <w:r w:rsidRPr="00DA260D">
        <w:rPr>
          <w:i/>
          <w:sz w:val="16"/>
          <w:szCs w:val="16"/>
          <w:lang w:val="en-GB"/>
        </w:rPr>
        <w:t>k</w:t>
      </w:r>
      <w:r w:rsidRPr="00DA260D">
        <w:rPr>
          <w:sz w:val="16"/>
          <w:szCs w:val="16"/>
          <w:lang w:val="en-GB"/>
        </w:rPr>
        <w:t xml:space="preserve">=2). </w:t>
      </w:r>
    </w:p>
    <w:p w:rsidR="003E061C" w:rsidRDefault="00150189" w:rsidP="004E7FBC">
      <w:pPr>
        <w:jc w:val="both"/>
        <w:rPr>
          <w:sz w:val="20"/>
          <w:lang w:val="en-GB"/>
        </w:rPr>
      </w:pPr>
      <w:r w:rsidRPr="00026E0A">
        <w:rPr>
          <w:sz w:val="16"/>
          <w:szCs w:val="16"/>
          <w:lang w:val="en-GB"/>
        </w:rPr>
        <w:t>NOTE: x-axis values are adjusted in order to avoid overlap of symbols</w:t>
      </w:r>
      <w:r>
        <w:rPr>
          <w:sz w:val="16"/>
          <w:szCs w:val="16"/>
          <w:lang w:val="en-GB"/>
        </w:rPr>
        <w:t>.</w:t>
      </w:r>
      <w:r w:rsidRPr="00026E0A">
        <w:rPr>
          <w:sz w:val="16"/>
          <w:szCs w:val="16"/>
          <w:lang w:val="en-GB"/>
        </w:rPr>
        <w:t xml:space="preserve"> </w:t>
      </w:r>
    </w:p>
    <w:p w:rsidR="00014509" w:rsidRDefault="00014509" w:rsidP="004E7FBC">
      <w:pPr>
        <w:jc w:val="both"/>
        <w:rPr>
          <w:sz w:val="20"/>
          <w:lang w:val="en-GB"/>
        </w:rPr>
      </w:pPr>
    </w:p>
    <w:p w:rsidR="00940FD6" w:rsidRDefault="00180BCB" w:rsidP="004E7FBC">
      <w:pPr>
        <w:jc w:val="both"/>
        <w:rPr>
          <w:sz w:val="20"/>
          <w:lang w:val="en-GB"/>
        </w:rPr>
      </w:pPr>
      <w:r w:rsidRPr="00180BCB">
        <w:rPr>
          <w:noProof/>
          <w:lang w:val="en-ZA" w:eastAsia="en-ZA"/>
        </w:rPr>
        <w:drawing>
          <wp:inline distT="0" distB="0" distL="0" distR="0" wp14:anchorId="6E67C73B" wp14:editId="1E530D6F">
            <wp:extent cx="2880360" cy="17929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880360" cy="1792966"/>
                    </a:xfrm>
                    <a:prstGeom prst="rect">
                      <a:avLst/>
                    </a:prstGeom>
                  </pic:spPr>
                </pic:pic>
              </a:graphicData>
            </a:graphic>
          </wp:inline>
        </w:drawing>
      </w:r>
    </w:p>
    <w:p w:rsidR="00940FD6" w:rsidRPr="00DA260D" w:rsidRDefault="00940FD6" w:rsidP="00940FD6">
      <w:pPr>
        <w:pStyle w:val="BodyText"/>
        <w:rPr>
          <w:sz w:val="16"/>
          <w:szCs w:val="16"/>
          <w:lang w:val="en-GB"/>
        </w:rPr>
      </w:pPr>
      <w:r w:rsidRPr="00DA260D">
        <w:rPr>
          <w:sz w:val="16"/>
          <w:szCs w:val="16"/>
          <w:lang w:val="en-GB"/>
        </w:rPr>
        <w:t xml:space="preserve"> </w:t>
      </w:r>
    </w:p>
    <w:p w:rsidR="002F3A38" w:rsidRDefault="002F3A38" w:rsidP="002F3A38">
      <w:pPr>
        <w:pStyle w:val="BodyText"/>
        <w:rPr>
          <w:sz w:val="16"/>
          <w:szCs w:val="16"/>
          <w:lang w:val="en-GB"/>
        </w:rPr>
      </w:pPr>
      <w:r w:rsidRPr="00DA260D">
        <w:rPr>
          <w:b/>
          <w:sz w:val="16"/>
          <w:szCs w:val="16"/>
          <w:lang w:val="en-GB"/>
        </w:rPr>
        <w:t xml:space="preserve">Figure </w:t>
      </w:r>
      <w:r>
        <w:rPr>
          <w:b/>
          <w:sz w:val="16"/>
          <w:szCs w:val="16"/>
          <w:lang w:val="en-GB"/>
        </w:rPr>
        <w:t>4</w:t>
      </w:r>
      <w:r w:rsidRPr="00DA260D">
        <w:rPr>
          <w:b/>
          <w:sz w:val="16"/>
          <w:szCs w:val="16"/>
          <w:lang w:val="en-GB"/>
        </w:rPr>
        <w:t>:</w:t>
      </w:r>
      <w:r w:rsidRPr="00DA260D">
        <w:rPr>
          <w:sz w:val="16"/>
          <w:szCs w:val="16"/>
          <w:lang w:val="en-GB"/>
        </w:rPr>
        <w:t xml:space="preserve"> Comparison results with transfer standard </w:t>
      </w:r>
      <w:proofErr w:type="gramStart"/>
      <w:r w:rsidRPr="00DA260D">
        <w:rPr>
          <w:sz w:val="16"/>
          <w:szCs w:val="16"/>
          <w:lang w:val="en-GB"/>
        </w:rPr>
        <w:t>MFC(</w:t>
      </w:r>
      <w:proofErr w:type="gramEnd"/>
      <w:r>
        <w:rPr>
          <w:sz w:val="16"/>
          <w:szCs w:val="16"/>
          <w:lang w:val="en-GB"/>
        </w:rPr>
        <w:t>2</w:t>
      </w:r>
      <w:r w:rsidRPr="00DA260D">
        <w:rPr>
          <w:sz w:val="16"/>
          <w:szCs w:val="16"/>
          <w:lang w:val="en-GB"/>
        </w:rPr>
        <w:t>). Error bars show the estimated expanded uncertainty (</w:t>
      </w:r>
      <w:r w:rsidRPr="00DA260D">
        <w:rPr>
          <w:i/>
          <w:sz w:val="16"/>
          <w:szCs w:val="16"/>
          <w:lang w:val="en-GB"/>
        </w:rPr>
        <w:t>k</w:t>
      </w:r>
      <w:r w:rsidRPr="00DA260D">
        <w:rPr>
          <w:sz w:val="16"/>
          <w:szCs w:val="16"/>
          <w:lang w:val="en-GB"/>
        </w:rPr>
        <w:t xml:space="preserve">=2). </w:t>
      </w:r>
    </w:p>
    <w:p w:rsidR="00150189" w:rsidRPr="00026E0A" w:rsidRDefault="00150189" w:rsidP="00150189">
      <w:pPr>
        <w:jc w:val="both"/>
        <w:rPr>
          <w:sz w:val="16"/>
          <w:szCs w:val="16"/>
          <w:lang w:val="en-GB"/>
        </w:rPr>
      </w:pPr>
      <w:r w:rsidRPr="00026E0A">
        <w:rPr>
          <w:sz w:val="16"/>
          <w:szCs w:val="16"/>
          <w:lang w:val="en-GB"/>
        </w:rPr>
        <w:t>NOTE: x-axis values are adjusted in order to avoid overlap of symbols</w:t>
      </w:r>
      <w:r>
        <w:rPr>
          <w:sz w:val="16"/>
          <w:szCs w:val="16"/>
          <w:lang w:val="en-GB"/>
        </w:rPr>
        <w:t>.</w:t>
      </w:r>
      <w:r w:rsidRPr="00026E0A">
        <w:rPr>
          <w:sz w:val="16"/>
          <w:szCs w:val="16"/>
          <w:lang w:val="en-GB"/>
        </w:rPr>
        <w:t xml:space="preserve"> </w:t>
      </w:r>
    </w:p>
    <w:p w:rsidR="00150189" w:rsidRPr="00DA260D" w:rsidRDefault="00150189" w:rsidP="002F3A38">
      <w:pPr>
        <w:pStyle w:val="BodyText"/>
        <w:rPr>
          <w:sz w:val="16"/>
          <w:szCs w:val="16"/>
          <w:lang w:val="en-GB"/>
        </w:rPr>
      </w:pPr>
    </w:p>
    <w:p w:rsidR="0070384C" w:rsidRPr="00E904C5" w:rsidRDefault="0070384C" w:rsidP="0070384C">
      <w:pPr>
        <w:rPr>
          <w:sz w:val="20"/>
        </w:rPr>
      </w:pPr>
    </w:p>
    <w:p w:rsidR="00AA4829" w:rsidRDefault="00AA4829" w:rsidP="007C348B">
      <w:pPr>
        <w:rPr>
          <w:b/>
          <w:sz w:val="16"/>
          <w:szCs w:val="16"/>
          <w:lang w:val="en-GB"/>
        </w:rPr>
      </w:pPr>
    </w:p>
    <w:p w:rsidR="007C348B" w:rsidRPr="00CA7CD0" w:rsidRDefault="00A85A7C" w:rsidP="0070384C">
      <w:pPr>
        <w:rPr>
          <w:sz w:val="20"/>
        </w:rPr>
      </w:pPr>
      <w:r w:rsidRPr="00A85A7C">
        <w:rPr>
          <w:noProof/>
          <w:lang w:val="en-ZA" w:eastAsia="en-ZA"/>
        </w:rPr>
        <w:lastRenderedPageBreak/>
        <w:drawing>
          <wp:inline distT="0" distB="0" distL="0" distR="0" wp14:anchorId="73371D7C" wp14:editId="247306CC">
            <wp:extent cx="2880360" cy="18890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880360" cy="1889009"/>
                    </a:xfrm>
                    <a:prstGeom prst="rect">
                      <a:avLst/>
                    </a:prstGeom>
                  </pic:spPr>
                </pic:pic>
              </a:graphicData>
            </a:graphic>
          </wp:inline>
        </w:drawing>
      </w:r>
    </w:p>
    <w:p w:rsidR="00C20582" w:rsidRDefault="00C20582" w:rsidP="00380F4A">
      <w:pPr>
        <w:pStyle w:val="BodyText"/>
      </w:pPr>
    </w:p>
    <w:p w:rsidR="00CA7CD0" w:rsidRDefault="00C20582" w:rsidP="000E1AD3">
      <w:pPr>
        <w:pStyle w:val="BodyText"/>
        <w:rPr>
          <w:sz w:val="16"/>
          <w:szCs w:val="16"/>
          <w:lang w:val="en-GB"/>
        </w:rPr>
      </w:pPr>
      <w:r w:rsidRPr="00C20582">
        <w:rPr>
          <w:b/>
          <w:sz w:val="16"/>
          <w:szCs w:val="16"/>
          <w:lang w:val="en-GB"/>
        </w:rPr>
        <w:t xml:space="preserve">Figure 5: </w:t>
      </w:r>
      <w:r w:rsidRPr="00DF0ED6">
        <w:rPr>
          <w:sz w:val="16"/>
          <w:szCs w:val="16"/>
          <w:lang w:val="en-GB"/>
        </w:rPr>
        <w:t xml:space="preserve">Comparison results with transfer standard </w:t>
      </w:r>
      <w:proofErr w:type="gramStart"/>
      <w:r w:rsidRPr="00DF0ED6">
        <w:rPr>
          <w:sz w:val="16"/>
          <w:szCs w:val="16"/>
          <w:lang w:val="en-GB"/>
        </w:rPr>
        <w:t>MFC(</w:t>
      </w:r>
      <w:proofErr w:type="gramEnd"/>
      <w:r w:rsidRPr="00DF0ED6">
        <w:rPr>
          <w:sz w:val="16"/>
          <w:szCs w:val="16"/>
          <w:lang w:val="en-GB"/>
        </w:rPr>
        <w:t>3). Error bars show the estimated expanded uncertainty (k=2).</w:t>
      </w:r>
    </w:p>
    <w:p w:rsidR="00CA7CD0" w:rsidRDefault="00150189" w:rsidP="000E1AD3">
      <w:pPr>
        <w:pStyle w:val="BodyText"/>
        <w:rPr>
          <w:sz w:val="16"/>
          <w:szCs w:val="16"/>
          <w:lang w:val="en-GB"/>
        </w:rPr>
      </w:pPr>
      <w:r w:rsidRPr="00026E0A">
        <w:rPr>
          <w:sz w:val="16"/>
          <w:szCs w:val="16"/>
          <w:lang w:val="en-GB"/>
        </w:rPr>
        <w:t>NOTE: x-axis values are adjusted in order to avoid overlap of symbols</w:t>
      </w:r>
      <w:r>
        <w:rPr>
          <w:sz w:val="16"/>
          <w:szCs w:val="16"/>
          <w:lang w:val="en-GB"/>
        </w:rPr>
        <w:t>.</w:t>
      </w:r>
      <w:r w:rsidRPr="00026E0A">
        <w:rPr>
          <w:sz w:val="16"/>
          <w:szCs w:val="16"/>
          <w:lang w:val="en-GB"/>
        </w:rPr>
        <w:t xml:space="preserve"> </w:t>
      </w:r>
    </w:p>
    <w:p w:rsidR="00960BB3" w:rsidRDefault="00960BB3" w:rsidP="000E1AD3">
      <w:pPr>
        <w:pStyle w:val="BodyText"/>
      </w:pPr>
    </w:p>
    <w:p w:rsidR="00CA7CD0" w:rsidRDefault="003B333C" w:rsidP="000E1AD3">
      <w:pPr>
        <w:pStyle w:val="BodyText"/>
      </w:pPr>
      <w:r w:rsidRPr="003B333C">
        <w:rPr>
          <w:noProof/>
          <w:lang w:val="en-ZA" w:eastAsia="en-ZA"/>
        </w:rPr>
        <w:drawing>
          <wp:inline distT="0" distB="0" distL="0" distR="0" wp14:anchorId="6BD89766" wp14:editId="6F351558">
            <wp:extent cx="2880360" cy="1844205"/>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880360" cy="1844205"/>
                    </a:xfrm>
                    <a:prstGeom prst="rect">
                      <a:avLst/>
                    </a:prstGeom>
                  </pic:spPr>
                </pic:pic>
              </a:graphicData>
            </a:graphic>
          </wp:inline>
        </w:drawing>
      </w:r>
    </w:p>
    <w:p w:rsidR="00CA7CD0" w:rsidRDefault="00CA7CD0" w:rsidP="000E1AD3">
      <w:pPr>
        <w:pStyle w:val="BodyText"/>
      </w:pPr>
    </w:p>
    <w:p w:rsidR="00940FD6" w:rsidRPr="00DA260D" w:rsidRDefault="00940FD6" w:rsidP="00940FD6">
      <w:pPr>
        <w:pStyle w:val="BodyText"/>
        <w:rPr>
          <w:sz w:val="16"/>
          <w:szCs w:val="16"/>
          <w:lang w:val="en-GB"/>
        </w:rPr>
      </w:pPr>
      <w:r w:rsidRPr="00DA260D">
        <w:rPr>
          <w:b/>
          <w:sz w:val="16"/>
          <w:szCs w:val="16"/>
          <w:lang w:val="en-GB"/>
        </w:rPr>
        <w:t>Figure 6:</w:t>
      </w:r>
      <w:r w:rsidRPr="00DA260D">
        <w:rPr>
          <w:sz w:val="16"/>
          <w:szCs w:val="16"/>
          <w:lang w:val="en-GB"/>
        </w:rPr>
        <w:t xml:space="preserve"> Comparison results with transfer standard </w:t>
      </w:r>
      <w:proofErr w:type="gramStart"/>
      <w:r w:rsidRPr="00DA260D">
        <w:rPr>
          <w:sz w:val="16"/>
          <w:szCs w:val="16"/>
          <w:lang w:val="en-GB"/>
        </w:rPr>
        <w:t>MFC(</w:t>
      </w:r>
      <w:proofErr w:type="gramEnd"/>
      <w:r w:rsidR="002F3A38">
        <w:rPr>
          <w:sz w:val="16"/>
          <w:szCs w:val="16"/>
          <w:lang w:val="en-GB"/>
        </w:rPr>
        <w:t>4</w:t>
      </w:r>
      <w:r w:rsidRPr="00DA260D">
        <w:rPr>
          <w:sz w:val="16"/>
          <w:szCs w:val="16"/>
          <w:lang w:val="en-GB"/>
        </w:rPr>
        <w:t>). Error bars show the estimated expanded uncertainty (</w:t>
      </w:r>
      <w:r w:rsidRPr="00DA260D">
        <w:rPr>
          <w:i/>
          <w:sz w:val="16"/>
          <w:szCs w:val="16"/>
          <w:lang w:val="en-GB"/>
        </w:rPr>
        <w:t>k</w:t>
      </w:r>
      <w:r w:rsidRPr="00DA260D">
        <w:rPr>
          <w:sz w:val="16"/>
          <w:szCs w:val="16"/>
          <w:lang w:val="en-GB"/>
        </w:rPr>
        <w:t xml:space="preserve">=2). </w:t>
      </w:r>
    </w:p>
    <w:p w:rsidR="00150189" w:rsidRPr="00026E0A" w:rsidRDefault="00150189" w:rsidP="00150189">
      <w:pPr>
        <w:jc w:val="both"/>
        <w:rPr>
          <w:sz w:val="16"/>
          <w:szCs w:val="16"/>
          <w:lang w:val="en-GB"/>
        </w:rPr>
      </w:pPr>
      <w:r w:rsidRPr="00026E0A">
        <w:rPr>
          <w:sz w:val="16"/>
          <w:szCs w:val="16"/>
          <w:lang w:val="en-GB"/>
        </w:rPr>
        <w:t>NOTE: x-axis values are adjusted in order to avoid overlap of symbols</w:t>
      </w:r>
      <w:r>
        <w:rPr>
          <w:sz w:val="16"/>
          <w:szCs w:val="16"/>
          <w:lang w:val="en-GB"/>
        </w:rPr>
        <w:t>.</w:t>
      </w:r>
      <w:r w:rsidRPr="00026E0A">
        <w:rPr>
          <w:sz w:val="16"/>
          <w:szCs w:val="16"/>
          <w:lang w:val="en-GB"/>
        </w:rPr>
        <w:t xml:space="preserve"> </w:t>
      </w:r>
    </w:p>
    <w:p w:rsidR="00197B00" w:rsidRPr="00960BB3" w:rsidRDefault="00197B00" w:rsidP="00197B00">
      <w:pPr>
        <w:pStyle w:val="Heading1"/>
        <w:rPr>
          <w:lang w:val="en-GB"/>
        </w:rPr>
      </w:pPr>
    </w:p>
    <w:p w:rsidR="007803B0" w:rsidRDefault="002A096C" w:rsidP="007803B0">
      <w:pPr>
        <w:pStyle w:val="Heading1"/>
      </w:pPr>
      <w:r>
        <w:t>7</w:t>
      </w:r>
      <w:r w:rsidR="007803B0">
        <w:t>. Discussion of the comparison results</w:t>
      </w:r>
    </w:p>
    <w:p w:rsidR="007803B0" w:rsidRDefault="007803B0" w:rsidP="007803B0"/>
    <w:p w:rsidR="007803B0" w:rsidRPr="007803B0" w:rsidRDefault="007803B0" w:rsidP="00FE23C3">
      <w:pPr>
        <w:jc w:val="both"/>
        <w:rPr>
          <w:sz w:val="20"/>
          <w:lang w:val="en-GB"/>
        </w:rPr>
      </w:pPr>
      <w:r w:rsidRPr="007803B0">
        <w:rPr>
          <w:sz w:val="20"/>
          <w:lang w:val="en-GB"/>
        </w:rPr>
        <w:t xml:space="preserve">The results of NMISA mainly agreed with the </w:t>
      </w:r>
      <w:r w:rsidR="001F0B7F">
        <w:rPr>
          <w:sz w:val="20"/>
          <w:lang w:val="en-GB"/>
        </w:rPr>
        <w:t>VTT-</w:t>
      </w:r>
      <w:r w:rsidRPr="007803B0">
        <w:rPr>
          <w:sz w:val="20"/>
          <w:lang w:val="en-GB"/>
        </w:rPr>
        <w:t>MIKES results for transfer standards MFC(1)-(3) in the volume flow range 5 m</w:t>
      </w:r>
      <w:r w:rsidR="00BA314B">
        <w:rPr>
          <w:sz w:val="20"/>
          <w:lang w:val="en-GB"/>
        </w:rPr>
        <w:t>L</w:t>
      </w:r>
      <w:r w:rsidRPr="007803B0">
        <w:rPr>
          <w:sz w:val="20"/>
          <w:lang w:val="en-GB"/>
        </w:rPr>
        <w:t>/min to 5 000 m</w:t>
      </w:r>
      <w:r w:rsidR="00BA314B">
        <w:rPr>
          <w:sz w:val="20"/>
          <w:lang w:val="en-GB"/>
        </w:rPr>
        <w:t>L</w:t>
      </w:r>
      <w:r w:rsidRPr="007803B0">
        <w:rPr>
          <w:sz w:val="20"/>
          <w:lang w:val="en-GB"/>
        </w:rPr>
        <w:t xml:space="preserve">/min. All normalized error values were within -1 </w:t>
      </w:r>
      <w:r w:rsidRPr="007803B0">
        <w:rPr>
          <w:sz w:val="20"/>
          <w:lang w:val="en-GB"/>
        </w:rPr>
        <w:sym w:font="Symbol" w:char="F0A3"/>
      </w:r>
      <w:r w:rsidRPr="007803B0">
        <w:rPr>
          <w:sz w:val="20"/>
          <w:lang w:val="en-GB"/>
        </w:rPr>
        <w:t xml:space="preserve"> </w:t>
      </w:r>
      <w:r w:rsidRPr="007803B0">
        <w:rPr>
          <w:i/>
          <w:sz w:val="20"/>
          <w:lang w:val="en-GB"/>
        </w:rPr>
        <w:t>E</w:t>
      </w:r>
      <w:r w:rsidRPr="007803B0">
        <w:rPr>
          <w:sz w:val="20"/>
          <w:vertAlign w:val="subscript"/>
          <w:lang w:val="en-GB"/>
        </w:rPr>
        <w:t>n</w:t>
      </w:r>
      <w:r w:rsidRPr="007803B0">
        <w:rPr>
          <w:sz w:val="20"/>
          <w:lang w:val="en-GB"/>
        </w:rPr>
        <w:t xml:space="preserve"> </w:t>
      </w:r>
      <w:r w:rsidRPr="007803B0">
        <w:rPr>
          <w:sz w:val="20"/>
          <w:lang w:val="en-GB"/>
        </w:rPr>
        <w:sym w:font="Symbol" w:char="F0A3"/>
      </w:r>
      <w:r w:rsidRPr="007803B0">
        <w:rPr>
          <w:sz w:val="20"/>
          <w:lang w:val="en-GB"/>
        </w:rPr>
        <w:t xml:space="preserve"> 1, except for measurement point 125 m</w:t>
      </w:r>
      <w:r w:rsidR="00802F46">
        <w:rPr>
          <w:sz w:val="20"/>
          <w:lang w:val="en-GB"/>
        </w:rPr>
        <w:t>L</w:t>
      </w:r>
      <w:r w:rsidRPr="007803B0">
        <w:rPr>
          <w:sz w:val="20"/>
          <w:lang w:val="en-GB"/>
        </w:rPr>
        <w:t xml:space="preserve">/min with </w:t>
      </w:r>
      <w:proofErr w:type="gramStart"/>
      <w:r w:rsidRPr="007803B0">
        <w:rPr>
          <w:sz w:val="20"/>
          <w:lang w:val="en-GB"/>
        </w:rPr>
        <w:t>MFC(</w:t>
      </w:r>
      <w:proofErr w:type="gramEnd"/>
      <w:r w:rsidRPr="007803B0">
        <w:rPr>
          <w:sz w:val="20"/>
          <w:lang w:val="en-GB"/>
        </w:rPr>
        <w:t xml:space="preserve">2). The observed discrepancy was probably due to the poor repeatability and stability of the MFCs when operated at low set point values. This is supported by the fact that the difference between laboratories was smaller at </w:t>
      </w:r>
      <w:r>
        <w:rPr>
          <w:sz w:val="20"/>
          <w:lang w:val="en-GB"/>
        </w:rPr>
        <w:br/>
      </w:r>
      <w:r w:rsidRPr="007803B0">
        <w:rPr>
          <w:sz w:val="20"/>
          <w:lang w:val="en-GB"/>
        </w:rPr>
        <w:t>50 m</w:t>
      </w:r>
      <w:r w:rsidR="001F0B7F">
        <w:rPr>
          <w:sz w:val="20"/>
          <w:lang w:val="en-GB"/>
        </w:rPr>
        <w:t>L</w:t>
      </w:r>
      <w:r w:rsidRPr="007803B0">
        <w:rPr>
          <w:sz w:val="20"/>
          <w:lang w:val="en-GB"/>
        </w:rPr>
        <w:t>/min, 500 m</w:t>
      </w:r>
      <w:r w:rsidR="001F0B7F">
        <w:rPr>
          <w:sz w:val="20"/>
          <w:lang w:val="en-GB"/>
        </w:rPr>
        <w:t>L</w:t>
      </w:r>
      <w:r w:rsidRPr="007803B0">
        <w:rPr>
          <w:sz w:val="20"/>
          <w:lang w:val="en-GB"/>
        </w:rPr>
        <w:t>/min and 5000 m</w:t>
      </w:r>
      <w:r w:rsidR="001F0B7F">
        <w:rPr>
          <w:sz w:val="20"/>
          <w:lang w:val="en-GB"/>
        </w:rPr>
        <w:t>L</w:t>
      </w:r>
      <w:r w:rsidRPr="007803B0">
        <w:rPr>
          <w:sz w:val="20"/>
          <w:lang w:val="en-GB"/>
        </w:rPr>
        <w:t xml:space="preserve">/min for measurements performed with a MFC at set point of 100 % instead of 10 %. </w:t>
      </w:r>
    </w:p>
    <w:p w:rsidR="007803B0" w:rsidRPr="007803B0" w:rsidRDefault="007803B0" w:rsidP="00FE23C3">
      <w:pPr>
        <w:jc w:val="both"/>
        <w:rPr>
          <w:sz w:val="20"/>
          <w:lang w:val="en-GB"/>
        </w:rPr>
      </w:pPr>
    </w:p>
    <w:p w:rsidR="007803B0" w:rsidRPr="007803B0" w:rsidRDefault="007803B0" w:rsidP="00FE23C3">
      <w:pPr>
        <w:jc w:val="both"/>
        <w:rPr>
          <w:sz w:val="20"/>
          <w:lang w:val="en-GB"/>
        </w:rPr>
      </w:pPr>
      <w:r w:rsidRPr="007803B0">
        <w:rPr>
          <w:sz w:val="20"/>
          <w:lang w:val="en-GB"/>
        </w:rPr>
        <w:t xml:space="preserve">A disagreement between the NMISA and </w:t>
      </w:r>
      <w:r w:rsidR="001F0B7F">
        <w:rPr>
          <w:sz w:val="20"/>
          <w:lang w:val="en-GB"/>
        </w:rPr>
        <w:t>VTT-</w:t>
      </w:r>
      <w:r w:rsidRPr="007803B0">
        <w:rPr>
          <w:sz w:val="20"/>
          <w:lang w:val="en-GB"/>
        </w:rPr>
        <w:t>MIKES results was found at flow rates from 12 500 m</w:t>
      </w:r>
      <w:r w:rsidR="00BA314B">
        <w:rPr>
          <w:sz w:val="20"/>
          <w:lang w:val="en-GB"/>
        </w:rPr>
        <w:t>L</w:t>
      </w:r>
      <w:r w:rsidRPr="007803B0">
        <w:rPr>
          <w:sz w:val="20"/>
          <w:lang w:val="en-GB"/>
        </w:rPr>
        <w:t>/min to 50 000 m</w:t>
      </w:r>
      <w:r w:rsidR="00BA314B">
        <w:rPr>
          <w:sz w:val="20"/>
          <w:lang w:val="en-GB"/>
        </w:rPr>
        <w:t>L</w:t>
      </w:r>
      <w:r w:rsidRPr="007803B0">
        <w:rPr>
          <w:sz w:val="20"/>
          <w:lang w:val="en-GB"/>
        </w:rPr>
        <w:t xml:space="preserve">/min, where </w:t>
      </w:r>
      <w:r w:rsidRPr="007803B0">
        <w:rPr>
          <w:i/>
          <w:sz w:val="20"/>
          <w:lang w:val="en-GB"/>
        </w:rPr>
        <w:t>E</w:t>
      </w:r>
      <w:r w:rsidRPr="007803B0">
        <w:rPr>
          <w:sz w:val="20"/>
          <w:vertAlign w:val="subscript"/>
          <w:lang w:val="en-GB"/>
        </w:rPr>
        <w:t>n</w:t>
      </w:r>
      <w:r w:rsidRPr="007803B0">
        <w:rPr>
          <w:sz w:val="20"/>
          <w:lang w:val="en-GB"/>
        </w:rPr>
        <w:t xml:space="preserve"> values were above one. This discrepancy cannot be explained by the transfer standard, as it was found to perform well in this flow range. A systematic difference of about -1.6 % was found in this flow range, which suggests that there might be an underestimated systematic error component affecting the results of NMISA</w:t>
      </w:r>
      <w:r w:rsidR="0065040A">
        <w:rPr>
          <w:sz w:val="20"/>
          <w:lang w:val="en-GB"/>
        </w:rPr>
        <w:t xml:space="preserve"> [1]</w:t>
      </w:r>
      <w:r w:rsidRPr="007803B0">
        <w:rPr>
          <w:sz w:val="20"/>
          <w:lang w:val="en-GB"/>
        </w:rPr>
        <w:t>.</w:t>
      </w:r>
    </w:p>
    <w:p w:rsidR="007803B0" w:rsidRDefault="007803B0" w:rsidP="007803B0"/>
    <w:p w:rsidR="007803B0" w:rsidRDefault="002A096C" w:rsidP="007803B0">
      <w:pPr>
        <w:pStyle w:val="Heading1"/>
      </w:pPr>
      <w:r>
        <w:lastRenderedPageBreak/>
        <w:t>8</w:t>
      </w:r>
      <w:r w:rsidR="007803B0">
        <w:t>. Follow-up measurements to investigate discrepancies</w:t>
      </w:r>
    </w:p>
    <w:p w:rsidR="007803B0" w:rsidRDefault="007803B0" w:rsidP="007803B0">
      <w:pPr>
        <w:pStyle w:val="BodyText"/>
        <w:keepNext/>
      </w:pPr>
    </w:p>
    <w:p w:rsidR="00F67E0A" w:rsidRDefault="00202ACD" w:rsidP="007803B0">
      <w:pPr>
        <w:rPr>
          <w:sz w:val="20"/>
        </w:rPr>
      </w:pPr>
      <w:r w:rsidRPr="00202ACD">
        <w:rPr>
          <w:sz w:val="20"/>
        </w:rPr>
        <w:t>Measurements</w:t>
      </w:r>
      <w:r>
        <w:rPr>
          <w:sz w:val="20"/>
        </w:rPr>
        <w:t xml:space="preserve"> were </w:t>
      </w:r>
      <w:r w:rsidR="00150189">
        <w:rPr>
          <w:sz w:val="20"/>
        </w:rPr>
        <w:t>repeated for</w:t>
      </w:r>
      <w:r>
        <w:rPr>
          <w:sz w:val="20"/>
        </w:rPr>
        <w:t xml:space="preserve"> the 50</w:t>
      </w:r>
      <w:r w:rsidR="00150189">
        <w:rPr>
          <w:sz w:val="20"/>
        </w:rPr>
        <w:t> 000 mL/min</w:t>
      </w:r>
      <w:r>
        <w:rPr>
          <w:sz w:val="20"/>
        </w:rPr>
        <w:t xml:space="preserve"> mass flow controller</w:t>
      </w:r>
      <w:r w:rsidR="0030772E">
        <w:rPr>
          <w:sz w:val="20"/>
        </w:rPr>
        <w:t xml:space="preserve"> (</w:t>
      </w:r>
      <w:proofErr w:type="gramStart"/>
      <w:r w:rsidR="0030772E">
        <w:rPr>
          <w:sz w:val="20"/>
        </w:rPr>
        <w:t>MFC(</w:t>
      </w:r>
      <w:proofErr w:type="gramEnd"/>
      <w:r w:rsidR="0030772E">
        <w:rPr>
          <w:sz w:val="20"/>
        </w:rPr>
        <w:t>4))</w:t>
      </w:r>
      <w:r w:rsidR="00C1608A">
        <w:rPr>
          <w:sz w:val="20"/>
        </w:rPr>
        <w:t xml:space="preserve"> </w:t>
      </w:r>
      <w:r w:rsidR="00150189">
        <w:rPr>
          <w:sz w:val="20"/>
        </w:rPr>
        <w:t xml:space="preserve">using </w:t>
      </w:r>
      <w:r>
        <w:rPr>
          <w:sz w:val="20"/>
        </w:rPr>
        <w:t xml:space="preserve">the </w:t>
      </w:r>
      <w:r w:rsidR="00150189">
        <w:rPr>
          <w:sz w:val="20"/>
        </w:rPr>
        <w:t>LFE</w:t>
      </w:r>
      <w:r>
        <w:rPr>
          <w:sz w:val="20"/>
        </w:rPr>
        <w:t xml:space="preserve"> </w:t>
      </w:r>
      <w:r w:rsidR="00F67E0A">
        <w:rPr>
          <w:sz w:val="20"/>
        </w:rPr>
        <w:t>calibration system as reference standard.</w:t>
      </w:r>
      <w:r w:rsidR="00C1608A">
        <w:rPr>
          <w:sz w:val="20"/>
        </w:rPr>
        <w:t xml:space="preserve"> </w:t>
      </w:r>
      <w:r w:rsidR="00150189">
        <w:rPr>
          <w:sz w:val="20"/>
        </w:rPr>
        <w:t>The measurements were performed according to the comparison protocol.</w:t>
      </w:r>
      <w:r w:rsidR="00457FA1">
        <w:rPr>
          <w:sz w:val="20"/>
        </w:rPr>
        <w:t xml:space="preserve">    </w:t>
      </w:r>
    </w:p>
    <w:p w:rsidR="00F67E0A" w:rsidRDefault="00F67E0A" w:rsidP="007803B0">
      <w:pPr>
        <w:rPr>
          <w:sz w:val="20"/>
        </w:rPr>
      </w:pPr>
    </w:p>
    <w:p w:rsidR="001D53CE" w:rsidRDefault="00F67E0A" w:rsidP="00457FA1">
      <w:pPr>
        <w:pStyle w:val="BodyText"/>
      </w:pPr>
      <w:r>
        <w:t>A nitrogen gas cylinder supplied gas through the</w:t>
      </w:r>
      <w:r w:rsidR="00457FA1">
        <w:t xml:space="preserve"> reference </w:t>
      </w:r>
      <w:r w:rsidR="00150189">
        <w:t>LFE</w:t>
      </w:r>
      <w:r>
        <w:t xml:space="preserve"> and the flow bench to the mass flow controller. The nitrogen gas was connected to the inlet of the </w:t>
      </w:r>
      <w:r w:rsidR="00150189">
        <w:t>LFE</w:t>
      </w:r>
      <w:r>
        <w:t xml:space="preserve">. The outlet of the </w:t>
      </w:r>
      <w:r w:rsidR="00150189">
        <w:t>LFE</w:t>
      </w:r>
      <w:r>
        <w:t xml:space="preserve"> was connected to the inlet of the flow bench</w:t>
      </w:r>
      <w:r w:rsidR="004E28C0">
        <w:t>;</w:t>
      </w:r>
      <w:r>
        <w:t xml:space="preserve"> the flow bench’s outlet was connected to the inlet of the mass flow controller. The outlet of the mass flow controller was open to atmosphere.</w:t>
      </w:r>
    </w:p>
    <w:p w:rsidR="001D53CE" w:rsidRDefault="001D53CE" w:rsidP="00457FA1">
      <w:pPr>
        <w:pStyle w:val="BodyText"/>
      </w:pPr>
    </w:p>
    <w:p w:rsidR="00F67E0A" w:rsidRDefault="00F67E0A" w:rsidP="00F67E0A">
      <w:pPr>
        <w:pStyle w:val="BodyText"/>
      </w:pPr>
      <w:r>
        <w:t>The results are shown in</w:t>
      </w:r>
      <w:r w:rsidR="001D53CE">
        <w:t xml:space="preserve"> </w:t>
      </w:r>
      <w:r>
        <w:t>figure 7.</w:t>
      </w:r>
    </w:p>
    <w:p w:rsidR="0046592C" w:rsidRDefault="0046592C" w:rsidP="000E1AD3">
      <w:pPr>
        <w:pStyle w:val="BodyText"/>
      </w:pPr>
    </w:p>
    <w:p w:rsidR="00F377E1" w:rsidRDefault="00930A50" w:rsidP="000E1AD3">
      <w:pPr>
        <w:pStyle w:val="BodyText"/>
      </w:pPr>
      <w:r>
        <w:rPr>
          <w:noProof/>
          <w:lang w:val="en-ZA" w:eastAsia="en-ZA"/>
        </w:rPr>
        <w:drawing>
          <wp:inline distT="0" distB="0" distL="0" distR="0" wp14:anchorId="338DF8D1" wp14:editId="688F2711">
            <wp:extent cx="2725200" cy="1602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25200" cy="1602000"/>
                    </a:xfrm>
                    <a:prstGeom prst="rect">
                      <a:avLst/>
                    </a:prstGeom>
                    <a:noFill/>
                  </pic:spPr>
                </pic:pic>
              </a:graphicData>
            </a:graphic>
          </wp:inline>
        </w:drawing>
      </w:r>
    </w:p>
    <w:p w:rsidR="007D3B20" w:rsidRDefault="007D3B20" w:rsidP="00F377E1">
      <w:pPr>
        <w:pStyle w:val="BodyText"/>
        <w:rPr>
          <w:b/>
          <w:sz w:val="16"/>
          <w:szCs w:val="16"/>
          <w:lang w:val="en-GB"/>
        </w:rPr>
      </w:pPr>
    </w:p>
    <w:p w:rsidR="00F377E1" w:rsidRDefault="00F377E1" w:rsidP="00F377E1">
      <w:pPr>
        <w:pStyle w:val="BodyText"/>
        <w:rPr>
          <w:sz w:val="16"/>
          <w:szCs w:val="16"/>
          <w:lang w:val="en-GB"/>
        </w:rPr>
      </w:pPr>
      <w:r w:rsidRPr="00DA260D">
        <w:rPr>
          <w:b/>
          <w:sz w:val="16"/>
          <w:szCs w:val="16"/>
          <w:lang w:val="en-GB"/>
        </w:rPr>
        <w:t xml:space="preserve">Figure </w:t>
      </w:r>
      <w:r>
        <w:rPr>
          <w:b/>
          <w:sz w:val="16"/>
          <w:szCs w:val="16"/>
          <w:lang w:val="en-GB"/>
        </w:rPr>
        <w:t>7</w:t>
      </w:r>
      <w:r w:rsidRPr="00DA260D">
        <w:rPr>
          <w:b/>
          <w:sz w:val="16"/>
          <w:szCs w:val="16"/>
          <w:lang w:val="en-GB"/>
        </w:rPr>
        <w:t>:</w:t>
      </w:r>
      <w:r w:rsidRPr="00DA260D">
        <w:rPr>
          <w:sz w:val="16"/>
          <w:szCs w:val="16"/>
          <w:lang w:val="en-GB"/>
        </w:rPr>
        <w:t xml:space="preserve"> </w:t>
      </w:r>
      <w:r w:rsidR="00150189">
        <w:rPr>
          <w:sz w:val="16"/>
          <w:szCs w:val="16"/>
          <w:lang w:val="en-GB"/>
        </w:rPr>
        <w:t>Measurement results</w:t>
      </w:r>
      <w:r>
        <w:rPr>
          <w:sz w:val="16"/>
          <w:szCs w:val="16"/>
          <w:lang w:val="en-GB"/>
        </w:rPr>
        <w:t xml:space="preserve"> for </w:t>
      </w:r>
      <w:r w:rsidRPr="00DA260D">
        <w:rPr>
          <w:sz w:val="16"/>
          <w:szCs w:val="16"/>
          <w:lang w:val="en-GB"/>
        </w:rPr>
        <w:t xml:space="preserve">transfer standard </w:t>
      </w:r>
      <w:proofErr w:type="gramStart"/>
      <w:r w:rsidRPr="00DA260D">
        <w:rPr>
          <w:sz w:val="16"/>
          <w:szCs w:val="16"/>
          <w:lang w:val="en-GB"/>
        </w:rPr>
        <w:t>MFC(</w:t>
      </w:r>
      <w:proofErr w:type="gramEnd"/>
      <w:r>
        <w:rPr>
          <w:sz w:val="16"/>
          <w:szCs w:val="16"/>
          <w:lang w:val="en-GB"/>
        </w:rPr>
        <w:t>4</w:t>
      </w:r>
      <w:r w:rsidRPr="00DA260D">
        <w:rPr>
          <w:sz w:val="16"/>
          <w:szCs w:val="16"/>
          <w:lang w:val="en-GB"/>
        </w:rPr>
        <w:t>)</w:t>
      </w:r>
      <w:r w:rsidR="00150189">
        <w:rPr>
          <w:sz w:val="16"/>
          <w:szCs w:val="16"/>
          <w:lang w:val="en-GB"/>
        </w:rPr>
        <w:t xml:space="preserve"> including the measurements performed with the LFE</w:t>
      </w:r>
      <w:r w:rsidRPr="00DA260D">
        <w:rPr>
          <w:sz w:val="16"/>
          <w:szCs w:val="16"/>
          <w:lang w:val="en-GB"/>
        </w:rPr>
        <w:t>. Error bars show the estimated expanded uncertainty (</w:t>
      </w:r>
      <w:r w:rsidRPr="00DA260D">
        <w:rPr>
          <w:i/>
          <w:sz w:val="16"/>
          <w:szCs w:val="16"/>
          <w:lang w:val="en-GB"/>
        </w:rPr>
        <w:t>k</w:t>
      </w:r>
      <w:r w:rsidRPr="00DA260D">
        <w:rPr>
          <w:sz w:val="16"/>
          <w:szCs w:val="16"/>
          <w:lang w:val="en-GB"/>
        </w:rPr>
        <w:t xml:space="preserve">=2). </w:t>
      </w:r>
    </w:p>
    <w:p w:rsidR="00150189" w:rsidRPr="00026E0A" w:rsidRDefault="00150189" w:rsidP="00150189">
      <w:pPr>
        <w:jc w:val="both"/>
        <w:rPr>
          <w:sz w:val="16"/>
          <w:szCs w:val="16"/>
          <w:lang w:val="en-GB"/>
        </w:rPr>
      </w:pPr>
      <w:r w:rsidRPr="00026E0A">
        <w:rPr>
          <w:sz w:val="16"/>
          <w:szCs w:val="16"/>
          <w:lang w:val="en-GB"/>
        </w:rPr>
        <w:t>NOTE: x-axis values are adjusted in order to avoid overlap of symbols</w:t>
      </w:r>
      <w:r>
        <w:rPr>
          <w:sz w:val="16"/>
          <w:szCs w:val="16"/>
          <w:lang w:val="en-GB"/>
        </w:rPr>
        <w:t>.</w:t>
      </w:r>
      <w:r w:rsidRPr="00026E0A">
        <w:rPr>
          <w:sz w:val="16"/>
          <w:szCs w:val="16"/>
          <w:lang w:val="en-GB"/>
        </w:rPr>
        <w:t xml:space="preserve"> </w:t>
      </w:r>
    </w:p>
    <w:p w:rsidR="00731606" w:rsidRDefault="00731606" w:rsidP="000E1AD3">
      <w:pPr>
        <w:pStyle w:val="BodyText"/>
      </w:pPr>
    </w:p>
    <w:p w:rsidR="00150189" w:rsidRDefault="00731606" w:rsidP="000E1AD3">
      <w:pPr>
        <w:pStyle w:val="BodyText"/>
      </w:pPr>
      <w:r>
        <w:t xml:space="preserve">The measurements performed with the </w:t>
      </w:r>
      <w:r w:rsidR="00150189">
        <w:t>LFE</w:t>
      </w:r>
      <w:r>
        <w:t xml:space="preserve"> as reference standard </w:t>
      </w:r>
      <w:r w:rsidR="00150189">
        <w:t xml:space="preserve">were consistent with the results performed with the BIOS. Based on these findings, it seems that the BIOS performance is not the reason for the discrepancy observed in the comparison. </w:t>
      </w:r>
    </w:p>
    <w:p w:rsidR="00150189" w:rsidRDefault="00150189" w:rsidP="000E1AD3">
      <w:pPr>
        <w:pStyle w:val="BodyText"/>
      </w:pPr>
      <w:r>
        <w:t xml:space="preserve"> </w:t>
      </w:r>
    </w:p>
    <w:p w:rsidR="00150189" w:rsidRDefault="00150189" w:rsidP="000E1AD3">
      <w:pPr>
        <w:pStyle w:val="BodyText"/>
      </w:pPr>
      <w:r>
        <w:t xml:space="preserve">A possible reason for the observed discrepancies is the reproducibility and short-term stability of the transfer standard </w:t>
      </w:r>
      <w:proofErr w:type="gramStart"/>
      <w:r>
        <w:t>MFC(</w:t>
      </w:r>
      <w:proofErr w:type="gramEnd"/>
      <w:r>
        <w:t>4). Due to the different reference standards used by NMISA and MIKES</w:t>
      </w:r>
      <w:r w:rsidR="00C408C3">
        <w:t>,</w:t>
      </w:r>
      <w:r>
        <w:t xml:space="preserve"> the calibration cycles were different i</w:t>
      </w:r>
      <w:r w:rsidR="00C408C3">
        <w:t>n terms of repetitions per calibration point</w:t>
      </w:r>
      <w:r>
        <w:t xml:space="preserve"> a</w:t>
      </w:r>
      <w:r w:rsidR="00C408C3">
        <w:t>nd length of calibration cy</w:t>
      </w:r>
      <w:r>
        <w:t>cle.</w:t>
      </w:r>
      <w:r w:rsidR="00C408C3">
        <w:t xml:space="preserve"> Also the laboratory temperature deviated by 4 °C. This might have resulted in </w:t>
      </w:r>
      <w:r w:rsidR="00AA5C65">
        <w:t>a different response of the mass flow controller</w:t>
      </w:r>
      <w:r w:rsidR="00C408C3">
        <w:t>.</w:t>
      </w:r>
    </w:p>
    <w:p w:rsidR="00150189" w:rsidRDefault="00150189" w:rsidP="000E1AD3">
      <w:pPr>
        <w:pStyle w:val="BodyText"/>
      </w:pPr>
    </w:p>
    <w:p w:rsidR="00BB0C57" w:rsidRDefault="00BB0C57" w:rsidP="00BB0C57">
      <w:pPr>
        <w:pStyle w:val="BodyText"/>
        <w:rPr>
          <w:b/>
        </w:rPr>
      </w:pPr>
      <w:r>
        <w:rPr>
          <w:b/>
        </w:rPr>
        <w:t>9</w:t>
      </w:r>
      <w:r w:rsidRPr="000F48CA">
        <w:rPr>
          <w:b/>
        </w:rPr>
        <w:t xml:space="preserve">. </w:t>
      </w:r>
      <w:r>
        <w:rPr>
          <w:b/>
        </w:rPr>
        <w:t>Conclusion</w:t>
      </w:r>
    </w:p>
    <w:p w:rsidR="00BB0C57" w:rsidRPr="000F48CA" w:rsidRDefault="00BB0C57" w:rsidP="00BB0C57">
      <w:pPr>
        <w:pStyle w:val="BodyText"/>
        <w:rPr>
          <w:b/>
        </w:rPr>
      </w:pPr>
    </w:p>
    <w:p w:rsidR="00DF1F39" w:rsidRDefault="00DF1F39" w:rsidP="000E1AD3">
      <w:pPr>
        <w:pStyle w:val="BodyText"/>
      </w:pPr>
      <w:r>
        <w:t xml:space="preserve">To </w:t>
      </w:r>
      <w:r w:rsidR="00150189">
        <w:t>further investigate</w:t>
      </w:r>
      <w:r>
        <w:t xml:space="preserve"> the </w:t>
      </w:r>
      <w:r w:rsidR="00150189">
        <w:t>discrepancies found at flow rates above 12 500 mL/min:</w:t>
      </w:r>
    </w:p>
    <w:p w:rsidR="00C63F64" w:rsidRDefault="00C63F64" w:rsidP="000E1AD3">
      <w:pPr>
        <w:pStyle w:val="BodyText"/>
      </w:pPr>
    </w:p>
    <w:p w:rsidR="005B1B79" w:rsidRDefault="005B1B79" w:rsidP="000E1AD3">
      <w:pPr>
        <w:pStyle w:val="BodyText"/>
      </w:pPr>
      <w:r>
        <w:t xml:space="preserve">a) </w:t>
      </w:r>
      <w:r w:rsidR="00C63F64">
        <w:t>Direct comparison measurements between the Bios ML-800 and Fluke laminar flow element reference standards should be performed and the results analysed.</w:t>
      </w:r>
      <w:r>
        <w:t xml:space="preserve"> </w:t>
      </w:r>
      <w:r>
        <w:br/>
      </w:r>
    </w:p>
    <w:p w:rsidR="00C63F64" w:rsidRDefault="005B1B79" w:rsidP="000E1AD3">
      <w:pPr>
        <w:pStyle w:val="BodyText"/>
      </w:pPr>
      <w:r>
        <w:lastRenderedPageBreak/>
        <w:t xml:space="preserve">b) Measurement uncertainties </w:t>
      </w:r>
      <w:r w:rsidR="00150189">
        <w:t>will</w:t>
      </w:r>
      <w:r>
        <w:t xml:space="preserve"> be investigated. Currently the main sources of uncertainty taken into </w:t>
      </w:r>
      <w:r w:rsidR="000F5991">
        <w:t>consideration</w:t>
      </w:r>
      <w:r>
        <w:t xml:space="preserve"> are the measurement uncertainty of the reference standard, repeatability and instrument resolution. It seems not to be adequate enough. Measurement uncertainty sources like</w:t>
      </w:r>
      <w:r w:rsidR="00150189">
        <w:t xml:space="preserve"> reference standard stability,</w:t>
      </w:r>
      <w:r>
        <w:t xml:space="preserve"> temperature and pressure influences </w:t>
      </w:r>
      <w:r w:rsidR="00F74DA2">
        <w:t>will</w:t>
      </w:r>
      <w:r>
        <w:t xml:space="preserve"> be investigated and included in the uncertainty budget. </w:t>
      </w:r>
    </w:p>
    <w:p w:rsidR="00DF1F39" w:rsidRDefault="00DF1F39" w:rsidP="000E1AD3">
      <w:pPr>
        <w:pStyle w:val="BodyText"/>
      </w:pPr>
      <w:r>
        <w:t xml:space="preserve"> </w:t>
      </w:r>
    </w:p>
    <w:p w:rsidR="00150189" w:rsidRDefault="00150189" w:rsidP="000E1AD3">
      <w:pPr>
        <w:pStyle w:val="BodyText"/>
      </w:pPr>
      <w:r>
        <w:t xml:space="preserve">c) </w:t>
      </w:r>
      <w:r w:rsidR="00C63F64">
        <w:t>Opportunities for NMISA to participate in further gas flow inter-laboratory comparisons should be investigated</w:t>
      </w:r>
      <w:r w:rsidR="00361A7B">
        <w:t xml:space="preserve">; </w:t>
      </w:r>
      <w:r w:rsidR="00DB17C9">
        <w:t>inter-</w:t>
      </w:r>
      <w:r w:rsidR="00C408C3">
        <w:t>comparison</w:t>
      </w:r>
      <w:r w:rsidR="00361A7B">
        <w:t>s</w:t>
      </w:r>
      <w:r w:rsidR="00C408C3">
        <w:t xml:space="preserve"> </w:t>
      </w:r>
      <w:r w:rsidR="00DB17C9">
        <w:t>using high accuracy transfer standards, such as piston provers or LFEs.</w:t>
      </w:r>
    </w:p>
    <w:p w:rsidR="008936F5" w:rsidRDefault="00ED2042" w:rsidP="000E1AD3">
      <w:pPr>
        <w:pStyle w:val="BodyText"/>
      </w:pPr>
      <w:r>
        <w:t xml:space="preserve">  </w:t>
      </w:r>
      <w:r w:rsidR="00731606">
        <w:t xml:space="preserve">  </w:t>
      </w:r>
    </w:p>
    <w:p w:rsidR="001B5F57" w:rsidRDefault="001B5F57">
      <w:pPr>
        <w:pStyle w:val="BodyText"/>
      </w:pPr>
    </w:p>
    <w:p w:rsidR="005F2C46" w:rsidRDefault="005F2C46">
      <w:pPr>
        <w:pStyle w:val="Heading1"/>
      </w:pPr>
      <w:r>
        <w:t>References</w:t>
      </w:r>
    </w:p>
    <w:p w:rsidR="005F2C46" w:rsidRDefault="005F2C46">
      <w:pPr>
        <w:pStyle w:val="BodyText"/>
      </w:pPr>
    </w:p>
    <w:p w:rsidR="005F2C46" w:rsidRDefault="00437151" w:rsidP="00B21BA8">
      <w:pPr>
        <w:pStyle w:val="BodyText"/>
        <w:numPr>
          <w:ilvl w:val="0"/>
          <w:numId w:val="5"/>
        </w:numPr>
        <w:ind w:left="426" w:hanging="426"/>
      </w:pPr>
      <w:r>
        <w:t>Comparison report, M-15D013.</w:t>
      </w:r>
      <w:r w:rsidR="005F2C46">
        <w:t xml:space="preserve"> </w:t>
      </w:r>
    </w:p>
    <w:p w:rsidR="00437151" w:rsidRDefault="00437151" w:rsidP="00B21BA8">
      <w:pPr>
        <w:pStyle w:val="BodyText"/>
        <w:numPr>
          <w:ilvl w:val="0"/>
          <w:numId w:val="5"/>
        </w:numPr>
        <w:ind w:left="426" w:hanging="426"/>
      </w:pPr>
      <w:r>
        <w:t xml:space="preserve">Cox M. G., “The evaluation of key comparison data.” </w:t>
      </w:r>
      <w:proofErr w:type="spellStart"/>
      <w:r>
        <w:t>Metrologia</w:t>
      </w:r>
      <w:proofErr w:type="spellEnd"/>
      <w:r>
        <w:t xml:space="preserve"> 39. 589-595 (2002). </w:t>
      </w:r>
    </w:p>
    <w:p w:rsidR="005F2C46" w:rsidRDefault="005F2C46">
      <w:pPr>
        <w:pStyle w:val="BodyText"/>
      </w:pPr>
    </w:p>
    <w:sectPr w:rsidR="005F2C46" w:rsidSect="00A86C33">
      <w:footerReference w:type="default" r:id="rId37"/>
      <w:type w:val="continuous"/>
      <w:pgSz w:w="11906" w:h="16838"/>
      <w:pgMar w:top="1134" w:right="1077" w:bottom="1134" w:left="1077" w:header="720" w:footer="720" w:gutter="0"/>
      <w:cols w:num="2" w:space="6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2AE" w:rsidRDefault="00D602AE" w:rsidP="00B370F7">
      <w:r>
        <w:separator/>
      </w:r>
    </w:p>
  </w:endnote>
  <w:endnote w:type="continuationSeparator" w:id="0">
    <w:p w:rsidR="00D602AE" w:rsidRDefault="00D602AE" w:rsidP="00B3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F7" w:rsidRPr="00B370F7" w:rsidRDefault="005C07BE" w:rsidP="005C07BE">
    <w:pPr>
      <w:pStyle w:val="Footer"/>
      <w:tabs>
        <w:tab w:val="clear" w:pos="4513"/>
        <w:tab w:val="clear" w:pos="9026"/>
        <w:tab w:val="right" w:pos="9781"/>
      </w:tabs>
      <w:rPr>
        <w:sz w:val="20"/>
      </w:rPr>
    </w:pPr>
    <w:r>
      <w:rPr>
        <w:sz w:val="20"/>
      </w:rPr>
      <w:t>FLOMEKO 2016</w:t>
    </w:r>
    <w:r w:rsidR="00B370F7">
      <w:rPr>
        <w:sz w:val="20"/>
      </w:rPr>
      <w:t xml:space="preserve">, </w:t>
    </w:r>
    <w:r>
      <w:rPr>
        <w:sz w:val="20"/>
      </w:rPr>
      <w:t>Sydney</w:t>
    </w:r>
    <w:r w:rsidR="00B370F7">
      <w:rPr>
        <w:sz w:val="20"/>
      </w:rPr>
      <w:t xml:space="preserve">, </w:t>
    </w:r>
    <w:r>
      <w:rPr>
        <w:sz w:val="20"/>
      </w:rPr>
      <w:t>Australia</w:t>
    </w:r>
    <w:r w:rsidR="00B370F7">
      <w:rPr>
        <w:sz w:val="20"/>
      </w:rPr>
      <w:t xml:space="preserve">, </w:t>
    </w:r>
    <w:r>
      <w:rPr>
        <w:sz w:val="20"/>
      </w:rPr>
      <w:t>September</w:t>
    </w:r>
    <w:r w:rsidR="00B370F7">
      <w:rPr>
        <w:sz w:val="20"/>
      </w:rPr>
      <w:t xml:space="preserve"> </w:t>
    </w:r>
    <w:r>
      <w:rPr>
        <w:sz w:val="20"/>
      </w:rPr>
      <w:t>26</w:t>
    </w:r>
    <w:r w:rsidR="00B370F7">
      <w:rPr>
        <w:sz w:val="20"/>
      </w:rPr>
      <w:t>-</w:t>
    </w:r>
    <w:r>
      <w:rPr>
        <w:sz w:val="20"/>
      </w:rPr>
      <w:t>29</w:t>
    </w:r>
    <w:r w:rsidR="00B370F7">
      <w:rPr>
        <w:sz w:val="20"/>
      </w:rPr>
      <w:t>, 201</w:t>
    </w:r>
    <w:r>
      <w:rPr>
        <w:sz w:val="20"/>
      </w:rPr>
      <w:t>6</w:t>
    </w:r>
    <w:r w:rsidR="00B370F7">
      <w:rPr>
        <w:sz w:val="20"/>
      </w:rPr>
      <w:tab/>
    </w:r>
    <w:r w:rsidR="00A86C33">
      <w:rPr>
        <w:sz w:val="20"/>
      </w:rPr>
      <w:t xml:space="preserve"> </w:t>
    </w:r>
    <w:r w:rsidR="003C0BF7">
      <w:rPr>
        <w:sz w:val="20"/>
      </w:rPr>
      <w:t>Page</w:t>
    </w:r>
    <w:r w:rsidR="00B370F7" w:rsidRPr="00B370F7">
      <w:rPr>
        <w:sz w:val="20"/>
      </w:rPr>
      <w:t xml:space="preserve"> </w:t>
    </w:r>
    <w:r w:rsidR="00B370F7" w:rsidRPr="00B370F7">
      <w:rPr>
        <w:sz w:val="20"/>
      </w:rPr>
      <w:fldChar w:fldCharType="begin"/>
    </w:r>
    <w:r w:rsidR="00B370F7" w:rsidRPr="00B370F7">
      <w:rPr>
        <w:sz w:val="20"/>
      </w:rPr>
      <w:instrText xml:space="preserve"> PAGE   \* MERGEFORMAT </w:instrText>
    </w:r>
    <w:r w:rsidR="00B370F7" w:rsidRPr="00B370F7">
      <w:rPr>
        <w:sz w:val="20"/>
      </w:rPr>
      <w:fldChar w:fldCharType="separate"/>
    </w:r>
    <w:r w:rsidR="00B8779F">
      <w:rPr>
        <w:noProof/>
        <w:sz w:val="20"/>
      </w:rPr>
      <w:t>1</w:t>
    </w:r>
    <w:r w:rsidR="00B370F7" w:rsidRPr="00B370F7">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41" w:rsidRPr="00250D41" w:rsidRDefault="00250D41" w:rsidP="00250D41">
    <w:pPr>
      <w:pStyle w:val="Footer"/>
      <w:tabs>
        <w:tab w:val="right" w:pos="9781"/>
      </w:tabs>
      <w:rPr>
        <w:sz w:val="20"/>
      </w:rPr>
    </w:pPr>
  </w:p>
  <w:p w:rsidR="00250D41" w:rsidRPr="00B370F7" w:rsidRDefault="00A217DA" w:rsidP="00250D41">
    <w:pPr>
      <w:pStyle w:val="Footer"/>
      <w:tabs>
        <w:tab w:val="clear" w:pos="4513"/>
        <w:tab w:val="clear" w:pos="9026"/>
        <w:tab w:val="right" w:pos="9781"/>
      </w:tabs>
      <w:rPr>
        <w:sz w:val="20"/>
      </w:rPr>
    </w:pPr>
    <w:r>
      <w:rPr>
        <w:sz w:val="20"/>
      </w:rPr>
      <w:t>FLOMEKO 2016, Sydney, Australia, September 26-29, 2016</w:t>
    </w:r>
    <w:r w:rsidR="00250D41">
      <w:rPr>
        <w:sz w:val="20"/>
      </w:rPr>
      <w:tab/>
      <w:t xml:space="preserve">   Page</w:t>
    </w:r>
    <w:r w:rsidR="00250D41" w:rsidRPr="00B370F7">
      <w:rPr>
        <w:sz w:val="20"/>
      </w:rPr>
      <w:t xml:space="preserve"> </w:t>
    </w:r>
    <w:r w:rsidR="00250D41" w:rsidRPr="00B370F7">
      <w:rPr>
        <w:sz w:val="20"/>
      </w:rPr>
      <w:fldChar w:fldCharType="begin"/>
    </w:r>
    <w:r w:rsidR="00250D41" w:rsidRPr="00B370F7">
      <w:rPr>
        <w:sz w:val="20"/>
      </w:rPr>
      <w:instrText xml:space="preserve"> PAGE   \* MERGEFORMAT </w:instrText>
    </w:r>
    <w:r w:rsidR="00250D41" w:rsidRPr="00B370F7">
      <w:rPr>
        <w:sz w:val="20"/>
      </w:rPr>
      <w:fldChar w:fldCharType="separate"/>
    </w:r>
    <w:r w:rsidR="00B8779F">
      <w:rPr>
        <w:noProof/>
        <w:sz w:val="20"/>
      </w:rPr>
      <w:t>3</w:t>
    </w:r>
    <w:r w:rsidR="00250D41" w:rsidRPr="00B370F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2AE" w:rsidRDefault="00D602AE" w:rsidP="00B370F7">
      <w:r>
        <w:separator/>
      </w:r>
    </w:p>
  </w:footnote>
  <w:footnote w:type="continuationSeparator" w:id="0">
    <w:p w:rsidR="00D602AE" w:rsidRDefault="00D602AE" w:rsidP="00B37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1">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2">
    <w:nsid w:val="655704D4"/>
    <w:multiLevelType w:val="hybridMultilevel"/>
    <w:tmpl w:val="DD8CC9E0"/>
    <w:lvl w:ilvl="0" w:tplc="EB88668A">
      <w:start w:val="1"/>
      <w:numFmt w:val="decimal"/>
      <w:lvlText w:val="%1."/>
      <w:lvlJc w:val="left"/>
      <w:pPr>
        <w:ind w:left="1211"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65704C44"/>
    <w:multiLevelType w:val="hybridMultilevel"/>
    <w:tmpl w:val="097C1C70"/>
    <w:lvl w:ilvl="0" w:tplc="F6D020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1BA3083"/>
    <w:multiLevelType w:val="hybridMultilevel"/>
    <w:tmpl w:val="87AC31D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6"/>
  </w:num>
  <w:num w:numId="4">
    <w:abstractNumId w:val="5"/>
  </w:num>
  <w:num w:numId="5">
    <w:abstractNumId w:val="3"/>
  </w:num>
  <w:num w:numId="6">
    <w:abstractNumId w:val="4"/>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ona Jonker">
    <w15:presenceInfo w15:providerId="None" w15:userId="Deona Jon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46"/>
    <w:rsid w:val="00004F7F"/>
    <w:rsid w:val="00014509"/>
    <w:rsid w:val="0002104D"/>
    <w:rsid w:val="00026E0A"/>
    <w:rsid w:val="0003706A"/>
    <w:rsid w:val="000444B8"/>
    <w:rsid w:val="00044583"/>
    <w:rsid w:val="00054E3C"/>
    <w:rsid w:val="00064B45"/>
    <w:rsid w:val="00066064"/>
    <w:rsid w:val="00075134"/>
    <w:rsid w:val="000771A5"/>
    <w:rsid w:val="0009611D"/>
    <w:rsid w:val="000977D9"/>
    <w:rsid w:val="000B4737"/>
    <w:rsid w:val="000D1C07"/>
    <w:rsid w:val="000D1C63"/>
    <w:rsid w:val="000E1AD3"/>
    <w:rsid w:val="000E76CB"/>
    <w:rsid w:val="000F1488"/>
    <w:rsid w:val="000F48CA"/>
    <w:rsid w:val="000F5991"/>
    <w:rsid w:val="000F7683"/>
    <w:rsid w:val="0010502A"/>
    <w:rsid w:val="00106509"/>
    <w:rsid w:val="00107029"/>
    <w:rsid w:val="00112C72"/>
    <w:rsid w:val="001418E3"/>
    <w:rsid w:val="001438E0"/>
    <w:rsid w:val="00143FFB"/>
    <w:rsid w:val="00150189"/>
    <w:rsid w:val="00154B0E"/>
    <w:rsid w:val="0015500E"/>
    <w:rsid w:val="00155445"/>
    <w:rsid w:val="001561A9"/>
    <w:rsid w:val="00157394"/>
    <w:rsid w:val="00163358"/>
    <w:rsid w:val="001656FC"/>
    <w:rsid w:val="00174B9B"/>
    <w:rsid w:val="00177171"/>
    <w:rsid w:val="00180BCB"/>
    <w:rsid w:val="0018260F"/>
    <w:rsid w:val="00196196"/>
    <w:rsid w:val="00197B00"/>
    <w:rsid w:val="001A7FCB"/>
    <w:rsid w:val="001B00B2"/>
    <w:rsid w:val="001B1CBC"/>
    <w:rsid w:val="001B5F57"/>
    <w:rsid w:val="001D53CE"/>
    <w:rsid w:val="001E0E8F"/>
    <w:rsid w:val="001E42C2"/>
    <w:rsid w:val="001E49D6"/>
    <w:rsid w:val="001F0B7F"/>
    <w:rsid w:val="00202ACD"/>
    <w:rsid w:val="00205447"/>
    <w:rsid w:val="00220028"/>
    <w:rsid w:val="002201A1"/>
    <w:rsid w:val="0022056C"/>
    <w:rsid w:val="00222BDB"/>
    <w:rsid w:val="00223AD6"/>
    <w:rsid w:val="00225E99"/>
    <w:rsid w:val="002303E8"/>
    <w:rsid w:val="00233F89"/>
    <w:rsid w:val="00235B84"/>
    <w:rsid w:val="00245AF4"/>
    <w:rsid w:val="00250D41"/>
    <w:rsid w:val="00262486"/>
    <w:rsid w:val="00263966"/>
    <w:rsid w:val="00276CB6"/>
    <w:rsid w:val="00280822"/>
    <w:rsid w:val="00281EBF"/>
    <w:rsid w:val="002821DD"/>
    <w:rsid w:val="00282F56"/>
    <w:rsid w:val="00285D51"/>
    <w:rsid w:val="0028684D"/>
    <w:rsid w:val="00287A1D"/>
    <w:rsid w:val="002943A8"/>
    <w:rsid w:val="00295D4A"/>
    <w:rsid w:val="002A096C"/>
    <w:rsid w:val="002A2C07"/>
    <w:rsid w:val="002A73B9"/>
    <w:rsid w:val="002B2D75"/>
    <w:rsid w:val="002C0D6A"/>
    <w:rsid w:val="002C4DB0"/>
    <w:rsid w:val="002C74F5"/>
    <w:rsid w:val="002E0485"/>
    <w:rsid w:val="002E0ADF"/>
    <w:rsid w:val="002E1DD9"/>
    <w:rsid w:val="002E283D"/>
    <w:rsid w:val="002E667B"/>
    <w:rsid w:val="002E7BC8"/>
    <w:rsid w:val="002F3A38"/>
    <w:rsid w:val="002F71F1"/>
    <w:rsid w:val="003075E6"/>
    <w:rsid w:val="0030772E"/>
    <w:rsid w:val="00310AAD"/>
    <w:rsid w:val="003114BC"/>
    <w:rsid w:val="003215CF"/>
    <w:rsid w:val="00355739"/>
    <w:rsid w:val="00361A7B"/>
    <w:rsid w:val="00364161"/>
    <w:rsid w:val="00370162"/>
    <w:rsid w:val="00370C4C"/>
    <w:rsid w:val="00373A9B"/>
    <w:rsid w:val="003752E2"/>
    <w:rsid w:val="00375D21"/>
    <w:rsid w:val="00380F4A"/>
    <w:rsid w:val="0038115B"/>
    <w:rsid w:val="00382BE9"/>
    <w:rsid w:val="00383BFE"/>
    <w:rsid w:val="00387992"/>
    <w:rsid w:val="00395775"/>
    <w:rsid w:val="003975EF"/>
    <w:rsid w:val="003A2CEE"/>
    <w:rsid w:val="003A4359"/>
    <w:rsid w:val="003A5D1D"/>
    <w:rsid w:val="003A6250"/>
    <w:rsid w:val="003A696F"/>
    <w:rsid w:val="003A7EB4"/>
    <w:rsid w:val="003B21ED"/>
    <w:rsid w:val="003B333C"/>
    <w:rsid w:val="003C0BF7"/>
    <w:rsid w:val="003C66B7"/>
    <w:rsid w:val="003C6C44"/>
    <w:rsid w:val="003D2E89"/>
    <w:rsid w:val="003D6491"/>
    <w:rsid w:val="003E061C"/>
    <w:rsid w:val="003E56C9"/>
    <w:rsid w:val="003F27CA"/>
    <w:rsid w:val="004033EC"/>
    <w:rsid w:val="004201FF"/>
    <w:rsid w:val="004210E4"/>
    <w:rsid w:val="004222C5"/>
    <w:rsid w:val="00426B02"/>
    <w:rsid w:val="00427AF3"/>
    <w:rsid w:val="00430EA9"/>
    <w:rsid w:val="00437151"/>
    <w:rsid w:val="00457FA1"/>
    <w:rsid w:val="004646C5"/>
    <w:rsid w:val="00464756"/>
    <w:rsid w:val="0046592C"/>
    <w:rsid w:val="00467436"/>
    <w:rsid w:val="00470BF7"/>
    <w:rsid w:val="004728F9"/>
    <w:rsid w:val="00481C7F"/>
    <w:rsid w:val="00493876"/>
    <w:rsid w:val="0049415E"/>
    <w:rsid w:val="004C1BE5"/>
    <w:rsid w:val="004C3168"/>
    <w:rsid w:val="004D127F"/>
    <w:rsid w:val="004D720E"/>
    <w:rsid w:val="004E28C0"/>
    <w:rsid w:val="004E7FBC"/>
    <w:rsid w:val="00512DC8"/>
    <w:rsid w:val="00513F82"/>
    <w:rsid w:val="005158FE"/>
    <w:rsid w:val="00516259"/>
    <w:rsid w:val="005235CF"/>
    <w:rsid w:val="00536611"/>
    <w:rsid w:val="00540DF4"/>
    <w:rsid w:val="005415D9"/>
    <w:rsid w:val="005512D6"/>
    <w:rsid w:val="00553D4A"/>
    <w:rsid w:val="005545E8"/>
    <w:rsid w:val="00561F18"/>
    <w:rsid w:val="00565117"/>
    <w:rsid w:val="00566E1C"/>
    <w:rsid w:val="00581FC0"/>
    <w:rsid w:val="005841EF"/>
    <w:rsid w:val="005912E1"/>
    <w:rsid w:val="0059621D"/>
    <w:rsid w:val="005971E7"/>
    <w:rsid w:val="005A6987"/>
    <w:rsid w:val="005B1B79"/>
    <w:rsid w:val="005B3B20"/>
    <w:rsid w:val="005B41EB"/>
    <w:rsid w:val="005C07BE"/>
    <w:rsid w:val="005C2741"/>
    <w:rsid w:val="005D1CCC"/>
    <w:rsid w:val="005D5FCE"/>
    <w:rsid w:val="005F2C46"/>
    <w:rsid w:val="006054BF"/>
    <w:rsid w:val="00610788"/>
    <w:rsid w:val="00614586"/>
    <w:rsid w:val="00614634"/>
    <w:rsid w:val="00616880"/>
    <w:rsid w:val="00621BF7"/>
    <w:rsid w:val="006248F6"/>
    <w:rsid w:val="0062515E"/>
    <w:rsid w:val="00633B36"/>
    <w:rsid w:val="00641536"/>
    <w:rsid w:val="00641DAC"/>
    <w:rsid w:val="00645064"/>
    <w:rsid w:val="0065040A"/>
    <w:rsid w:val="006562F0"/>
    <w:rsid w:val="00657F17"/>
    <w:rsid w:val="00661585"/>
    <w:rsid w:val="00662DB0"/>
    <w:rsid w:val="0067233A"/>
    <w:rsid w:val="00675772"/>
    <w:rsid w:val="00680AAF"/>
    <w:rsid w:val="00681323"/>
    <w:rsid w:val="006A0DC1"/>
    <w:rsid w:val="006A452E"/>
    <w:rsid w:val="006B295C"/>
    <w:rsid w:val="006B43E9"/>
    <w:rsid w:val="006B6DF0"/>
    <w:rsid w:val="006D0690"/>
    <w:rsid w:val="006D49A0"/>
    <w:rsid w:val="006E68A4"/>
    <w:rsid w:val="006F089C"/>
    <w:rsid w:val="006F12BB"/>
    <w:rsid w:val="006F1A64"/>
    <w:rsid w:val="006F500D"/>
    <w:rsid w:val="0070384C"/>
    <w:rsid w:val="00712765"/>
    <w:rsid w:val="00713372"/>
    <w:rsid w:val="00723423"/>
    <w:rsid w:val="00731606"/>
    <w:rsid w:val="00732EC1"/>
    <w:rsid w:val="007429AE"/>
    <w:rsid w:val="00744885"/>
    <w:rsid w:val="00744EFD"/>
    <w:rsid w:val="007510E7"/>
    <w:rsid w:val="00754B91"/>
    <w:rsid w:val="00755025"/>
    <w:rsid w:val="007551AD"/>
    <w:rsid w:val="007723ED"/>
    <w:rsid w:val="00773BBF"/>
    <w:rsid w:val="00774C72"/>
    <w:rsid w:val="007803B0"/>
    <w:rsid w:val="0079286B"/>
    <w:rsid w:val="007A0E8D"/>
    <w:rsid w:val="007A3405"/>
    <w:rsid w:val="007A6F66"/>
    <w:rsid w:val="007B087B"/>
    <w:rsid w:val="007C348B"/>
    <w:rsid w:val="007D3B20"/>
    <w:rsid w:val="007D499A"/>
    <w:rsid w:val="007F1262"/>
    <w:rsid w:val="007F3BFF"/>
    <w:rsid w:val="007F51E1"/>
    <w:rsid w:val="007F73B3"/>
    <w:rsid w:val="00800425"/>
    <w:rsid w:val="00801DAF"/>
    <w:rsid w:val="0080231B"/>
    <w:rsid w:val="00802F46"/>
    <w:rsid w:val="00807BEF"/>
    <w:rsid w:val="00815774"/>
    <w:rsid w:val="00815B8E"/>
    <w:rsid w:val="00820E39"/>
    <w:rsid w:val="00820F88"/>
    <w:rsid w:val="00822E7F"/>
    <w:rsid w:val="00825F28"/>
    <w:rsid w:val="00831EB6"/>
    <w:rsid w:val="0083440B"/>
    <w:rsid w:val="008357DD"/>
    <w:rsid w:val="00837CE0"/>
    <w:rsid w:val="00843730"/>
    <w:rsid w:val="00857B17"/>
    <w:rsid w:val="00873660"/>
    <w:rsid w:val="00875749"/>
    <w:rsid w:val="008806DA"/>
    <w:rsid w:val="00884BEE"/>
    <w:rsid w:val="00885864"/>
    <w:rsid w:val="00886BAF"/>
    <w:rsid w:val="008936F5"/>
    <w:rsid w:val="00897C1E"/>
    <w:rsid w:val="008A31E3"/>
    <w:rsid w:val="008A73E6"/>
    <w:rsid w:val="008B29EC"/>
    <w:rsid w:val="008B419A"/>
    <w:rsid w:val="008B4239"/>
    <w:rsid w:val="008C0334"/>
    <w:rsid w:val="008C398D"/>
    <w:rsid w:val="008C76BC"/>
    <w:rsid w:val="008D132F"/>
    <w:rsid w:val="008D254C"/>
    <w:rsid w:val="008D4094"/>
    <w:rsid w:val="008E1642"/>
    <w:rsid w:val="00905079"/>
    <w:rsid w:val="00906B86"/>
    <w:rsid w:val="00920D3C"/>
    <w:rsid w:val="00927BDE"/>
    <w:rsid w:val="00930A50"/>
    <w:rsid w:val="009343D4"/>
    <w:rsid w:val="00936E0D"/>
    <w:rsid w:val="00940FD6"/>
    <w:rsid w:val="0095398A"/>
    <w:rsid w:val="00960BB3"/>
    <w:rsid w:val="00962D3E"/>
    <w:rsid w:val="00966672"/>
    <w:rsid w:val="00967D84"/>
    <w:rsid w:val="00970C41"/>
    <w:rsid w:val="00983517"/>
    <w:rsid w:val="0099404D"/>
    <w:rsid w:val="0099462D"/>
    <w:rsid w:val="009A0084"/>
    <w:rsid w:val="009A35EC"/>
    <w:rsid w:val="009C2442"/>
    <w:rsid w:val="009C33E3"/>
    <w:rsid w:val="009C5E35"/>
    <w:rsid w:val="009D6CE9"/>
    <w:rsid w:val="009E1CBA"/>
    <w:rsid w:val="009E4AA6"/>
    <w:rsid w:val="009F0570"/>
    <w:rsid w:val="009F12F6"/>
    <w:rsid w:val="009F36BA"/>
    <w:rsid w:val="00A0063B"/>
    <w:rsid w:val="00A04278"/>
    <w:rsid w:val="00A1052B"/>
    <w:rsid w:val="00A129D7"/>
    <w:rsid w:val="00A12E51"/>
    <w:rsid w:val="00A151D7"/>
    <w:rsid w:val="00A20CEF"/>
    <w:rsid w:val="00A21096"/>
    <w:rsid w:val="00A217DA"/>
    <w:rsid w:val="00A22A85"/>
    <w:rsid w:val="00A27EDD"/>
    <w:rsid w:val="00A41654"/>
    <w:rsid w:val="00A45D7A"/>
    <w:rsid w:val="00A56506"/>
    <w:rsid w:val="00A6108C"/>
    <w:rsid w:val="00A61FFD"/>
    <w:rsid w:val="00A632B6"/>
    <w:rsid w:val="00A85A7C"/>
    <w:rsid w:val="00A86C33"/>
    <w:rsid w:val="00A917FD"/>
    <w:rsid w:val="00A923B7"/>
    <w:rsid w:val="00A976FE"/>
    <w:rsid w:val="00AA4829"/>
    <w:rsid w:val="00AA5C65"/>
    <w:rsid w:val="00AA7786"/>
    <w:rsid w:val="00AB0A75"/>
    <w:rsid w:val="00AB51F5"/>
    <w:rsid w:val="00AC3753"/>
    <w:rsid w:val="00AC7AEA"/>
    <w:rsid w:val="00AE6E01"/>
    <w:rsid w:val="00AE7811"/>
    <w:rsid w:val="00AF1355"/>
    <w:rsid w:val="00AF5702"/>
    <w:rsid w:val="00AF6DA5"/>
    <w:rsid w:val="00B014CD"/>
    <w:rsid w:val="00B0320F"/>
    <w:rsid w:val="00B07905"/>
    <w:rsid w:val="00B12BE9"/>
    <w:rsid w:val="00B21BA8"/>
    <w:rsid w:val="00B264DD"/>
    <w:rsid w:val="00B270D5"/>
    <w:rsid w:val="00B33C9D"/>
    <w:rsid w:val="00B370F7"/>
    <w:rsid w:val="00B52117"/>
    <w:rsid w:val="00B53673"/>
    <w:rsid w:val="00B56E22"/>
    <w:rsid w:val="00B64E8F"/>
    <w:rsid w:val="00B66762"/>
    <w:rsid w:val="00B81D99"/>
    <w:rsid w:val="00B82844"/>
    <w:rsid w:val="00B8734B"/>
    <w:rsid w:val="00B8779F"/>
    <w:rsid w:val="00B93EE9"/>
    <w:rsid w:val="00B97194"/>
    <w:rsid w:val="00BA057A"/>
    <w:rsid w:val="00BA1AC3"/>
    <w:rsid w:val="00BA314B"/>
    <w:rsid w:val="00BA3F62"/>
    <w:rsid w:val="00BA5637"/>
    <w:rsid w:val="00BA5AE4"/>
    <w:rsid w:val="00BA6001"/>
    <w:rsid w:val="00BB07FE"/>
    <w:rsid w:val="00BB0C57"/>
    <w:rsid w:val="00BB6EDD"/>
    <w:rsid w:val="00BC7EFA"/>
    <w:rsid w:val="00BD15D2"/>
    <w:rsid w:val="00BD1FFD"/>
    <w:rsid w:val="00BD5349"/>
    <w:rsid w:val="00BD7CC7"/>
    <w:rsid w:val="00BE2A1A"/>
    <w:rsid w:val="00BF5B1F"/>
    <w:rsid w:val="00C03EF5"/>
    <w:rsid w:val="00C1608A"/>
    <w:rsid w:val="00C20582"/>
    <w:rsid w:val="00C24FF7"/>
    <w:rsid w:val="00C408C3"/>
    <w:rsid w:val="00C40F3D"/>
    <w:rsid w:val="00C41D9F"/>
    <w:rsid w:val="00C454BC"/>
    <w:rsid w:val="00C4572B"/>
    <w:rsid w:val="00C51FB8"/>
    <w:rsid w:val="00C57755"/>
    <w:rsid w:val="00C63F64"/>
    <w:rsid w:val="00C72C38"/>
    <w:rsid w:val="00C7784D"/>
    <w:rsid w:val="00C8175E"/>
    <w:rsid w:val="00C877D1"/>
    <w:rsid w:val="00C925C3"/>
    <w:rsid w:val="00CA2E69"/>
    <w:rsid w:val="00CA7CD0"/>
    <w:rsid w:val="00CB39BD"/>
    <w:rsid w:val="00CC1910"/>
    <w:rsid w:val="00CD06E4"/>
    <w:rsid w:val="00CD5126"/>
    <w:rsid w:val="00CD5E55"/>
    <w:rsid w:val="00CD7343"/>
    <w:rsid w:val="00CE3A13"/>
    <w:rsid w:val="00CE3BEC"/>
    <w:rsid w:val="00CF510F"/>
    <w:rsid w:val="00D0073E"/>
    <w:rsid w:val="00D01715"/>
    <w:rsid w:val="00D1272C"/>
    <w:rsid w:val="00D13359"/>
    <w:rsid w:val="00D15292"/>
    <w:rsid w:val="00D26736"/>
    <w:rsid w:val="00D26E84"/>
    <w:rsid w:val="00D51BE8"/>
    <w:rsid w:val="00D602AE"/>
    <w:rsid w:val="00D66E5C"/>
    <w:rsid w:val="00D74541"/>
    <w:rsid w:val="00D77426"/>
    <w:rsid w:val="00D83287"/>
    <w:rsid w:val="00D8754C"/>
    <w:rsid w:val="00DA1894"/>
    <w:rsid w:val="00DA260D"/>
    <w:rsid w:val="00DA4EA9"/>
    <w:rsid w:val="00DA6FF5"/>
    <w:rsid w:val="00DB17C9"/>
    <w:rsid w:val="00DB26E9"/>
    <w:rsid w:val="00DB534E"/>
    <w:rsid w:val="00DB7720"/>
    <w:rsid w:val="00DD5E60"/>
    <w:rsid w:val="00DE01C9"/>
    <w:rsid w:val="00DF0ED6"/>
    <w:rsid w:val="00DF1645"/>
    <w:rsid w:val="00DF1F39"/>
    <w:rsid w:val="00DF38D4"/>
    <w:rsid w:val="00DF3DE8"/>
    <w:rsid w:val="00DF6B4C"/>
    <w:rsid w:val="00E0231A"/>
    <w:rsid w:val="00E13C25"/>
    <w:rsid w:val="00E22E7F"/>
    <w:rsid w:val="00E24E9E"/>
    <w:rsid w:val="00E309B5"/>
    <w:rsid w:val="00E32B25"/>
    <w:rsid w:val="00E350F5"/>
    <w:rsid w:val="00E36039"/>
    <w:rsid w:val="00E471C6"/>
    <w:rsid w:val="00E51E8C"/>
    <w:rsid w:val="00E538C3"/>
    <w:rsid w:val="00E57385"/>
    <w:rsid w:val="00E75A32"/>
    <w:rsid w:val="00E76D6D"/>
    <w:rsid w:val="00E809D1"/>
    <w:rsid w:val="00E904C5"/>
    <w:rsid w:val="00EA6110"/>
    <w:rsid w:val="00EB0522"/>
    <w:rsid w:val="00EB4374"/>
    <w:rsid w:val="00EC21AF"/>
    <w:rsid w:val="00EC75B5"/>
    <w:rsid w:val="00ED2042"/>
    <w:rsid w:val="00ED3C9B"/>
    <w:rsid w:val="00ED52A3"/>
    <w:rsid w:val="00EE0E03"/>
    <w:rsid w:val="00EE2497"/>
    <w:rsid w:val="00EE77CC"/>
    <w:rsid w:val="00EF2986"/>
    <w:rsid w:val="00EF5D9B"/>
    <w:rsid w:val="00F00CB2"/>
    <w:rsid w:val="00F07613"/>
    <w:rsid w:val="00F23B8A"/>
    <w:rsid w:val="00F30E7C"/>
    <w:rsid w:val="00F3543B"/>
    <w:rsid w:val="00F377E1"/>
    <w:rsid w:val="00F43DBD"/>
    <w:rsid w:val="00F61790"/>
    <w:rsid w:val="00F62060"/>
    <w:rsid w:val="00F67E0A"/>
    <w:rsid w:val="00F74DA2"/>
    <w:rsid w:val="00F779A5"/>
    <w:rsid w:val="00F85B55"/>
    <w:rsid w:val="00F969C4"/>
    <w:rsid w:val="00F96FF1"/>
    <w:rsid w:val="00FA150C"/>
    <w:rsid w:val="00FB5166"/>
    <w:rsid w:val="00FB55A9"/>
    <w:rsid w:val="00FC1BA3"/>
    <w:rsid w:val="00FD2564"/>
    <w:rsid w:val="00FE23C3"/>
    <w:rsid w:val="00FE72E5"/>
    <w:rsid w:val="00FF2D4B"/>
    <w:rsid w:val="00FF5A78"/>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75"/>
    <w:rPr>
      <w:sz w:val="24"/>
      <w:lang w:val="en-AU" w:eastAsia="en-GB"/>
    </w:rPr>
  </w:style>
  <w:style w:type="paragraph" w:styleId="Heading1">
    <w:name w:val="heading 1"/>
    <w:basedOn w:val="Normal"/>
    <w:next w:val="Normal"/>
    <w:link w:val="Heading1Char"/>
    <w:qFormat/>
    <w:pPr>
      <w:keepNext/>
      <w:outlineLvl w:val="0"/>
    </w:pPr>
    <w:rPr>
      <w:b/>
      <w:sz w:val="20"/>
    </w:rPr>
  </w:style>
  <w:style w:type="paragraph" w:styleId="Heading2">
    <w:name w:val="heading 2"/>
    <w:basedOn w:val="Normal"/>
    <w:next w:val="Normal"/>
    <w:qFormat/>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jc w:val="both"/>
    </w:pPr>
    <w:rPr>
      <w:b/>
      <w:sz w:val="16"/>
    </w:rPr>
  </w:style>
  <w:style w:type="paragraph" w:styleId="BodyText">
    <w:name w:val="Body Text"/>
    <w:basedOn w:val="Normal"/>
    <w:link w:val="BodyTextChar"/>
    <w:pPr>
      <w:jc w:val="both"/>
    </w:pPr>
    <w:rPr>
      <w:sz w:val="20"/>
    </w:rPr>
  </w:style>
  <w:style w:type="paragraph" w:styleId="Title">
    <w:name w:val="Title"/>
    <w:basedOn w:val="Normal"/>
    <w:qFormat/>
    <w:pPr>
      <w:jc w:val="center"/>
    </w:pPr>
    <w:rPr>
      <w:b/>
      <w:sz w:val="36"/>
    </w:rPr>
  </w:style>
  <w:style w:type="paragraph" w:styleId="BodyTextIndent">
    <w:name w:val="Body Text Indent"/>
    <w:basedOn w:val="Normal"/>
    <w:pPr>
      <w:ind w:left="360"/>
    </w:pPr>
  </w:style>
  <w:style w:type="paragraph" w:styleId="ListParagraph">
    <w:name w:val="List Paragraph"/>
    <w:basedOn w:val="Normal"/>
    <w:uiPriority w:val="34"/>
    <w:qFormat/>
    <w:rsid w:val="00B21BA8"/>
    <w:pPr>
      <w:ind w:left="720"/>
    </w:pPr>
  </w:style>
  <w:style w:type="paragraph" w:styleId="Header">
    <w:name w:val="header"/>
    <w:basedOn w:val="Normal"/>
    <w:link w:val="HeaderChar"/>
    <w:rsid w:val="00B370F7"/>
    <w:pPr>
      <w:tabs>
        <w:tab w:val="center" w:pos="4513"/>
        <w:tab w:val="right" w:pos="9026"/>
      </w:tabs>
    </w:pPr>
  </w:style>
  <w:style w:type="character" w:customStyle="1" w:styleId="HeaderChar">
    <w:name w:val="Header Char"/>
    <w:link w:val="Header"/>
    <w:rsid w:val="00B370F7"/>
    <w:rPr>
      <w:sz w:val="24"/>
      <w:lang w:val="en-AU" w:eastAsia="en-GB"/>
    </w:rPr>
  </w:style>
  <w:style w:type="paragraph" w:styleId="Footer">
    <w:name w:val="footer"/>
    <w:basedOn w:val="Normal"/>
    <w:link w:val="FooterChar"/>
    <w:rsid w:val="00B370F7"/>
    <w:pPr>
      <w:tabs>
        <w:tab w:val="center" w:pos="4513"/>
        <w:tab w:val="right" w:pos="9026"/>
      </w:tabs>
    </w:pPr>
  </w:style>
  <w:style w:type="character" w:customStyle="1" w:styleId="FooterChar">
    <w:name w:val="Footer Char"/>
    <w:link w:val="Footer"/>
    <w:rsid w:val="00B370F7"/>
    <w:rPr>
      <w:sz w:val="24"/>
      <w:lang w:val="en-AU" w:eastAsia="en-GB"/>
    </w:rPr>
  </w:style>
  <w:style w:type="paragraph" w:styleId="BalloonText">
    <w:name w:val="Balloon Text"/>
    <w:basedOn w:val="Normal"/>
    <w:link w:val="BalloonTextChar"/>
    <w:rsid w:val="00250D41"/>
    <w:rPr>
      <w:rFonts w:ascii="Tahoma" w:hAnsi="Tahoma" w:cs="Tahoma"/>
      <w:sz w:val="16"/>
      <w:szCs w:val="16"/>
    </w:rPr>
  </w:style>
  <w:style w:type="character" w:customStyle="1" w:styleId="BalloonTextChar">
    <w:name w:val="Balloon Text Char"/>
    <w:basedOn w:val="DefaultParagraphFont"/>
    <w:link w:val="BalloonText"/>
    <w:rsid w:val="00250D41"/>
    <w:rPr>
      <w:rFonts w:ascii="Tahoma" w:hAnsi="Tahoma" w:cs="Tahoma"/>
      <w:sz w:val="16"/>
      <w:szCs w:val="16"/>
      <w:lang w:val="en-AU" w:eastAsia="en-GB"/>
    </w:rPr>
  </w:style>
  <w:style w:type="character" w:styleId="PlaceholderText">
    <w:name w:val="Placeholder Text"/>
    <w:basedOn w:val="DefaultParagraphFont"/>
    <w:uiPriority w:val="99"/>
    <w:semiHidden/>
    <w:rsid w:val="00250D41"/>
    <w:rPr>
      <w:color w:val="808080"/>
    </w:rPr>
  </w:style>
  <w:style w:type="character" w:styleId="Hyperlink">
    <w:name w:val="Hyperlink"/>
    <w:basedOn w:val="DefaultParagraphFont"/>
    <w:rsid w:val="00250D41"/>
    <w:rPr>
      <w:color w:val="0000FF" w:themeColor="hyperlink"/>
      <w:u w:val="single"/>
    </w:rPr>
  </w:style>
  <w:style w:type="character" w:styleId="FollowedHyperlink">
    <w:name w:val="FollowedHyperlink"/>
    <w:basedOn w:val="DefaultParagraphFont"/>
    <w:rsid w:val="00A86C33"/>
    <w:rPr>
      <w:color w:val="800080" w:themeColor="followedHyperlink"/>
      <w:u w:val="single"/>
    </w:rPr>
  </w:style>
  <w:style w:type="character" w:customStyle="1" w:styleId="BodyTextChar">
    <w:name w:val="Body Text Char"/>
    <w:basedOn w:val="DefaultParagraphFont"/>
    <w:link w:val="BodyText"/>
    <w:rsid w:val="00621BF7"/>
    <w:rPr>
      <w:lang w:val="en-AU" w:eastAsia="en-GB"/>
    </w:rPr>
  </w:style>
  <w:style w:type="character" w:customStyle="1" w:styleId="Heading1Char">
    <w:name w:val="Heading 1 Char"/>
    <w:basedOn w:val="DefaultParagraphFont"/>
    <w:link w:val="Heading1"/>
    <w:rsid w:val="007803B0"/>
    <w:rPr>
      <w:b/>
      <w:lang w:val="en-AU" w:eastAsia="en-GB"/>
    </w:rPr>
  </w:style>
  <w:style w:type="character" w:styleId="CommentReference">
    <w:name w:val="annotation reference"/>
    <w:basedOn w:val="DefaultParagraphFont"/>
    <w:semiHidden/>
    <w:unhideWhenUsed/>
    <w:rsid w:val="00F969C4"/>
    <w:rPr>
      <w:sz w:val="16"/>
      <w:szCs w:val="16"/>
    </w:rPr>
  </w:style>
  <w:style w:type="paragraph" w:styleId="CommentText">
    <w:name w:val="annotation text"/>
    <w:basedOn w:val="Normal"/>
    <w:link w:val="CommentTextChar"/>
    <w:semiHidden/>
    <w:unhideWhenUsed/>
    <w:rsid w:val="00F969C4"/>
    <w:rPr>
      <w:sz w:val="20"/>
    </w:rPr>
  </w:style>
  <w:style w:type="character" w:customStyle="1" w:styleId="CommentTextChar">
    <w:name w:val="Comment Text Char"/>
    <w:basedOn w:val="DefaultParagraphFont"/>
    <w:link w:val="CommentText"/>
    <w:semiHidden/>
    <w:rsid w:val="00F969C4"/>
    <w:rPr>
      <w:lang w:val="en-AU" w:eastAsia="en-GB"/>
    </w:rPr>
  </w:style>
  <w:style w:type="paragraph" w:styleId="CommentSubject">
    <w:name w:val="annotation subject"/>
    <w:basedOn w:val="CommentText"/>
    <w:next w:val="CommentText"/>
    <w:link w:val="CommentSubjectChar"/>
    <w:semiHidden/>
    <w:unhideWhenUsed/>
    <w:rsid w:val="00F969C4"/>
    <w:rPr>
      <w:b/>
      <w:bCs/>
    </w:rPr>
  </w:style>
  <w:style w:type="character" w:customStyle="1" w:styleId="CommentSubjectChar">
    <w:name w:val="Comment Subject Char"/>
    <w:basedOn w:val="CommentTextChar"/>
    <w:link w:val="CommentSubject"/>
    <w:semiHidden/>
    <w:rsid w:val="00F969C4"/>
    <w:rPr>
      <w:b/>
      <w:bCs/>
      <w:lang w:val="en-AU" w:eastAsia="en-GB"/>
    </w:rPr>
  </w:style>
  <w:style w:type="paragraph" w:styleId="Revision">
    <w:name w:val="Revision"/>
    <w:hidden/>
    <w:uiPriority w:val="99"/>
    <w:semiHidden/>
    <w:rsid w:val="00731606"/>
    <w:rPr>
      <w:sz w:val="24"/>
      <w:lang w:val="en-AU"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75"/>
    <w:rPr>
      <w:sz w:val="24"/>
      <w:lang w:val="en-AU" w:eastAsia="en-GB"/>
    </w:rPr>
  </w:style>
  <w:style w:type="paragraph" w:styleId="Heading1">
    <w:name w:val="heading 1"/>
    <w:basedOn w:val="Normal"/>
    <w:next w:val="Normal"/>
    <w:link w:val="Heading1Char"/>
    <w:qFormat/>
    <w:pPr>
      <w:keepNext/>
      <w:outlineLvl w:val="0"/>
    </w:pPr>
    <w:rPr>
      <w:b/>
      <w:sz w:val="20"/>
    </w:rPr>
  </w:style>
  <w:style w:type="paragraph" w:styleId="Heading2">
    <w:name w:val="heading 2"/>
    <w:basedOn w:val="Normal"/>
    <w:next w:val="Normal"/>
    <w:qFormat/>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jc w:val="both"/>
    </w:pPr>
    <w:rPr>
      <w:b/>
      <w:sz w:val="16"/>
    </w:rPr>
  </w:style>
  <w:style w:type="paragraph" w:styleId="BodyText">
    <w:name w:val="Body Text"/>
    <w:basedOn w:val="Normal"/>
    <w:link w:val="BodyTextChar"/>
    <w:pPr>
      <w:jc w:val="both"/>
    </w:pPr>
    <w:rPr>
      <w:sz w:val="20"/>
    </w:rPr>
  </w:style>
  <w:style w:type="paragraph" w:styleId="Title">
    <w:name w:val="Title"/>
    <w:basedOn w:val="Normal"/>
    <w:qFormat/>
    <w:pPr>
      <w:jc w:val="center"/>
    </w:pPr>
    <w:rPr>
      <w:b/>
      <w:sz w:val="36"/>
    </w:rPr>
  </w:style>
  <w:style w:type="paragraph" w:styleId="BodyTextIndent">
    <w:name w:val="Body Text Indent"/>
    <w:basedOn w:val="Normal"/>
    <w:pPr>
      <w:ind w:left="360"/>
    </w:pPr>
  </w:style>
  <w:style w:type="paragraph" w:styleId="ListParagraph">
    <w:name w:val="List Paragraph"/>
    <w:basedOn w:val="Normal"/>
    <w:uiPriority w:val="34"/>
    <w:qFormat/>
    <w:rsid w:val="00B21BA8"/>
    <w:pPr>
      <w:ind w:left="720"/>
    </w:pPr>
  </w:style>
  <w:style w:type="paragraph" w:styleId="Header">
    <w:name w:val="header"/>
    <w:basedOn w:val="Normal"/>
    <w:link w:val="HeaderChar"/>
    <w:rsid w:val="00B370F7"/>
    <w:pPr>
      <w:tabs>
        <w:tab w:val="center" w:pos="4513"/>
        <w:tab w:val="right" w:pos="9026"/>
      </w:tabs>
    </w:pPr>
  </w:style>
  <w:style w:type="character" w:customStyle="1" w:styleId="HeaderChar">
    <w:name w:val="Header Char"/>
    <w:link w:val="Header"/>
    <w:rsid w:val="00B370F7"/>
    <w:rPr>
      <w:sz w:val="24"/>
      <w:lang w:val="en-AU" w:eastAsia="en-GB"/>
    </w:rPr>
  </w:style>
  <w:style w:type="paragraph" w:styleId="Footer">
    <w:name w:val="footer"/>
    <w:basedOn w:val="Normal"/>
    <w:link w:val="FooterChar"/>
    <w:rsid w:val="00B370F7"/>
    <w:pPr>
      <w:tabs>
        <w:tab w:val="center" w:pos="4513"/>
        <w:tab w:val="right" w:pos="9026"/>
      </w:tabs>
    </w:pPr>
  </w:style>
  <w:style w:type="character" w:customStyle="1" w:styleId="FooterChar">
    <w:name w:val="Footer Char"/>
    <w:link w:val="Footer"/>
    <w:rsid w:val="00B370F7"/>
    <w:rPr>
      <w:sz w:val="24"/>
      <w:lang w:val="en-AU" w:eastAsia="en-GB"/>
    </w:rPr>
  </w:style>
  <w:style w:type="paragraph" w:styleId="BalloonText">
    <w:name w:val="Balloon Text"/>
    <w:basedOn w:val="Normal"/>
    <w:link w:val="BalloonTextChar"/>
    <w:rsid w:val="00250D41"/>
    <w:rPr>
      <w:rFonts w:ascii="Tahoma" w:hAnsi="Tahoma" w:cs="Tahoma"/>
      <w:sz w:val="16"/>
      <w:szCs w:val="16"/>
    </w:rPr>
  </w:style>
  <w:style w:type="character" w:customStyle="1" w:styleId="BalloonTextChar">
    <w:name w:val="Balloon Text Char"/>
    <w:basedOn w:val="DefaultParagraphFont"/>
    <w:link w:val="BalloonText"/>
    <w:rsid w:val="00250D41"/>
    <w:rPr>
      <w:rFonts w:ascii="Tahoma" w:hAnsi="Tahoma" w:cs="Tahoma"/>
      <w:sz w:val="16"/>
      <w:szCs w:val="16"/>
      <w:lang w:val="en-AU" w:eastAsia="en-GB"/>
    </w:rPr>
  </w:style>
  <w:style w:type="character" w:styleId="PlaceholderText">
    <w:name w:val="Placeholder Text"/>
    <w:basedOn w:val="DefaultParagraphFont"/>
    <w:uiPriority w:val="99"/>
    <w:semiHidden/>
    <w:rsid w:val="00250D41"/>
    <w:rPr>
      <w:color w:val="808080"/>
    </w:rPr>
  </w:style>
  <w:style w:type="character" w:styleId="Hyperlink">
    <w:name w:val="Hyperlink"/>
    <w:basedOn w:val="DefaultParagraphFont"/>
    <w:rsid w:val="00250D41"/>
    <w:rPr>
      <w:color w:val="0000FF" w:themeColor="hyperlink"/>
      <w:u w:val="single"/>
    </w:rPr>
  </w:style>
  <w:style w:type="character" w:styleId="FollowedHyperlink">
    <w:name w:val="FollowedHyperlink"/>
    <w:basedOn w:val="DefaultParagraphFont"/>
    <w:rsid w:val="00A86C33"/>
    <w:rPr>
      <w:color w:val="800080" w:themeColor="followedHyperlink"/>
      <w:u w:val="single"/>
    </w:rPr>
  </w:style>
  <w:style w:type="character" w:customStyle="1" w:styleId="BodyTextChar">
    <w:name w:val="Body Text Char"/>
    <w:basedOn w:val="DefaultParagraphFont"/>
    <w:link w:val="BodyText"/>
    <w:rsid w:val="00621BF7"/>
    <w:rPr>
      <w:lang w:val="en-AU" w:eastAsia="en-GB"/>
    </w:rPr>
  </w:style>
  <w:style w:type="character" w:customStyle="1" w:styleId="Heading1Char">
    <w:name w:val="Heading 1 Char"/>
    <w:basedOn w:val="DefaultParagraphFont"/>
    <w:link w:val="Heading1"/>
    <w:rsid w:val="007803B0"/>
    <w:rPr>
      <w:b/>
      <w:lang w:val="en-AU" w:eastAsia="en-GB"/>
    </w:rPr>
  </w:style>
  <w:style w:type="character" w:styleId="CommentReference">
    <w:name w:val="annotation reference"/>
    <w:basedOn w:val="DefaultParagraphFont"/>
    <w:semiHidden/>
    <w:unhideWhenUsed/>
    <w:rsid w:val="00F969C4"/>
    <w:rPr>
      <w:sz w:val="16"/>
      <w:szCs w:val="16"/>
    </w:rPr>
  </w:style>
  <w:style w:type="paragraph" w:styleId="CommentText">
    <w:name w:val="annotation text"/>
    <w:basedOn w:val="Normal"/>
    <w:link w:val="CommentTextChar"/>
    <w:semiHidden/>
    <w:unhideWhenUsed/>
    <w:rsid w:val="00F969C4"/>
    <w:rPr>
      <w:sz w:val="20"/>
    </w:rPr>
  </w:style>
  <w:style w:type="character" w:customStyle="1" w:styleId="CommentTextChar">
    <w:name w:val="Comment Text Char"/>
    <w:basedOn w:val="DefaultParagraphFont"/>
    <w:link w:val="CommentText"/>
    <w:semiHidden/>
    <w:rsid w:val="00F969C4"/>
    <w:rPr>
      <w:lang w:val="en-AU" w:eastAsia="en-GB"/>
    </w:rPr>
  </w:style>
  <w:style w:type="paragraph" w:styleId="CommentSubject">
    <w:name w:val="annotation subject"/>
    <w:basedOn w:val="CommentText"/>
    <w:next w:val="CommentText"/>
    <w:link w:val="CommentSubjectChar"/>
    <w:semiHidden/>
    <w:unhideWhenUsed/>
    <w:rsid w:val="00F969C4"/>
    <w:rPr>
      <w:b/>
      <w:bCs/>
    </w:rPr>
  </w:style>
  <w:style w:type="character" w:customStyle="1" w:styleId="CommentSubjectChar">
    <w:name w:val="Comment Subject Char"/>
    <w:basedOn w:val="CommentTextChar"/>
    <w:link w:val="CommentSubject"/>
    <w:semiHidden/>
    <w:rsid w:val="00F969C4"/>
    <w:rPr>
      <w:b/>
      <w:bCs/>
      <w:lang w:val="en-AU" w:eastAsia="en-GB"/>
    </w:rPr>
  </w:style>
  <w:style w:type="paragraph" w:styleId="Revision">
    <w:name w:val="Revision"/>
    <w:hidden/>
    <w:uiPriority w:val="99"/>
    <w:semiHidden/>
    <w:rsid w:val="00731606"/>
    <w:rPr>
      <w:sz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5.png"/><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4.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8.wmf"/><Relationship Id="rId32" Type="http://schemas.openxmlformats.org/officeDocument/2006/relationships/image" Target="media/image13.png"/><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image" Target="media/image17.jpeg"/><Relationship Id="rId10" Type="http://schemas.openxmlformats.org/officeDocument/2006/relationships/footer" Target="footer1.xml"/><Relationship Id="rId19" Type="http://schemas.openxmlformats.org/officeDocument/2006/relationships/oleObject" Target="embeddings/oleObject4.bin"/><Relationship Id="rId31" Type="http://schemas.openxmlformats.org/officeDocument/2006/relationships/image" Target="media/image12.emf"/><Relationship Id="rId4" Type="http://schemas.microsoft.com/office/2007/relationships/stylesWithEffects" Target="stylesWithEffects.xml"/><Relationship Id="rId9" Type="http://schemas.openxmlformats.org/officeDocument/2006/relationships/hyperlink" Target="mailto:djonker@nmisa.org"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jpeg"/><Relationship Id="rId35" Type="http://schemas.openxmlformats.org/officeDocument/2006/relationships/image" Target="media/image16.png"/><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DF244-D7D5-40CC-9348-B753A7C2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Template>
  <TotalTime>29</TotalTime>
  <Pages>5</Pages>
  <Words>2429</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MSA Value in Measurement 2004</vt:lpstr>
    </vt:vector>
  </TitlesOfParts>
  <Company>Metrology Society of Australia</Company>
  <LinksUpToDate>false</LinksUpToDate>
  <CharactersWithSpaces>16248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Deona Jonker</cp:lastModifiedBy>
  <cp:revision>4</cp:revision>
  <cp:lastPrinted>2016-08-12T12:32:00Z</cp:lastPrinted>
  <dcterms:created xsi:type="dcterms:W3CDTF">2016-08-12T12:43:00Z</dcterms:created>
  <dcterms:modified xsi:type="dcterms:W3CDTF">2016-08-12T13:11:00Z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y fmtid="{D5CDD505-2E9C-101B-9397-08002B2CF9AE}" pid="5" name="_NewReviewCycle">
    <vt:lpwstr/>
  </property>
</Properties>
</file>