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6" w:rsidRPr="00D72832" w:rsidRDefault="00AD138E">
      <w:pPr>
        <w:rPr>
          <w:lang w:val="en-GB"/>
        </w:rPr>
      </w:pPr>
      <w:r w:rsidRPr="00D72832">
        <w:rPr>
          <w:b/>
          <w:sz w:val="36"/>
          <w:lang w:val="en-GB"/>
        </w:rPr>
        <w:t>Metrological support for LNG custody transfer and transport</w:t>
      </w:r>
    </w:p>
    <w:p w:rsidR="00AD138E" w:rsidRPr="00D72832" w:rsidRDefault="00AD138E" w:rsidP="00AD138E">
      <w:pPr>
        <w:pStyle w:val="Brdtext"/>
        <w:jc w:val="center"/>
        <w:rPr>
          <w:b/>
          <w:sz w:val="24"/>
          <w:lang w:val="en-GB"/>
        </w:rPr>
      </w:pPr>
      <w:r w:rsidRPr="00D72832">
        <w:rPr>
          <w:b/>
          <w:sz w:val="24"/>
          <w:lang w:val="en-GB"/>
        </w:rPr>
        <w:t>O. Büker</w:t>
      </w:r>
      <w:r w:rsidRPr="00D72832">
        <w:rPr>
          <w:b/>
          <w:sz w:val="24"/>
          <w:vertAlign w:val="superscript"/>
          <w:lang w:val="en-GB"/>
        </w:rPr>
        <w:t>1</w:t>
      </w:r>
      <w:r w:rsidRPr="00D72832">
        <w:rPr>
          <w:b/>
          <w:sz w:val="24"/>
          <w:lang w:val="en-GB"/>
        </w:rPr>
        <w:t>, K. Rasmussen</w:t>
      </w:r>
      <w:r w:rsidRPr="00D72832">
        <w:rPr>
          <w:b/>
          <w:sz w:val="24"/>
          <w:vertAlign w:val="superscript"/>
          <w:lang w:val="en-GB"/>
        </w:rPr>
        <w:t>2</w:t>
      </w:r>
      <w:r w:rsidRPr="00D72832">
        <w:rPr>
          <w:b/>
          <w:sz w:val="24"/>
          <w:lang w:val="en-GB"/>
        </w:rPr>
        <w:t>, J. B. Kondrup</w:t>
      </w:r>
      <w:r w:rsidRPr="00D72832">
        <w:rPr>
          <w:b/>
          <w:sz w:val="24"/>
          <w:vertAlign w:val="superscript"/>
          <w:lang w:val="en-GB"/>
        </w:rPr>
        <w:t>2</w:t>
      </w:r>
      <w:r w:rsidRPr="00D72832">
        <w:rPr>
          <w:b/>
          <w:sz w:val="24"/>
          <w:lang w:val="en-GB"/>
        </w:rPr>
        <w:t>, P. Lucas</w:t>
      </w:r>
      <w:r w:rsidRPr="00D72832">
        <w:rPr>
          <w:b/>
          <w:sz w:val="24"/>
          <w:vertAlign w:val="superscript"/>
          <w:lang w:val="en-GB"/>
        </w:rPr>
        <w:t>3</w:t>
      </w:r>
      <w:r w:rsidRPr="00D72832">
        <w:rPr>
          <w:b/>
          <w:sz w:val="24"/>
          <w:lang w:val="en-GB"/>
        </w:rPr>
        <w:t>, N. Pelevic</w:t>
      </w:r>
      <w:r w:rsidRPr="00D72832">
        <w:rPr>
          <w:b/>
          <w:sz w:val="24"/>
          <w:vertAlign w:val="superscript"/>
          <w:lang w:val="en-GB"/>
        </w:rPr>
        <w:t>3</w:t>
      </w:r>
      <w:r w:rsidRPr="00D72832">
        <w:rPr>
          <w:b/>
          <w:sz w:val="24"/>
          <w:lang w:val="en-GB"/>
        </w:rPr>
        <w:t>, K. Stolt</w:t>
      </w:r>
      <w:r w:rsidRPr="00D72832">
        <w:rPr>
          <w:b/>
          <w:sz w:val="24"/>
          <w:vertAlign w:val="superscript"/>
          <w:lang w:val="en-GB"/>
        </w:rPr>
        <w:t>1</w:t>
      </w:r>
      <w:r w:rsidR="00632EF9" w:rsidRPr="00D72832">
        <w:rPr>
          <w:b/>
          <w:sz w:val="24"/>
          <w:lang w:val="en-GB"/>
        </w:rPr>
        <w:t xml:space="preserve">, </w:t>
      </w:r>
      <w:r w:rsidRPr="00D72832">
        <w:rPr>
          <w:b/>
          <w:sz w:val="24"/>
          <w:lang w:val="en-GB"/>
        </w:rPr>
        <w:t>M. van der Beek</w:t>
      </w:r>
      <w:r w:rsidRPr="00D72832">
        <w:rPr>
          <w:b/>
          <w:sz w:val="24"/>
          <w:vertAlign w:val="superscript"/>
          <w:lang w:val="en-GB"/>
        </w:rPr>
        <w:t>3</w:t>
      </w:r>
      <w:r w:rsidRPr="00D72832">
        <w:rPr>
          <w:b/>
          <w:sz w:val="24"/>
          <w:lang w:val="en-GB"/>
        </w:rPr>
        <w:t>,</w:t>
      </w:r>
      <w:r w:rsidR="00413CC2" w:rsidRPr="00D72832">
        <w:rPr>
          <w:b/>
          <w:sz w:val="24"/>
          <w:lang w:val="en-GB"/>
        </w:rPr>
        <w:t xml:space="preserve"> </w:t>
      </w:r>
      <w:r w:rsidR="000B35FD" w:rsidRPr="00D72832">
        <w:rPr>
          <w:b/>
          <w:sz w:val="24"/>
          <w:lang w:val="en-GB"/>
        </w:rPr>
        <w:t>K.</w:t>
      </w:r>
      <w:r w:rsidR="00E5645B" w:rsidRPr="00D72832">
        <w:t xml:space="preserve"> </w:t>
      </w:r>
      <w:r w:rsidR="00E5645B" w:rsidRPr="00D72832">
        <w:rPr>
          <w:b/>
          <w:sz w:val="24"/>
          <w:lang w:val="en-GB"/>
        </w:rPr>
        <w:t>Arrhenius</w:t>
      </w:r>
      <w:r w:rsidR="00E5645B" w:rsidRPr="00D72832">
        <w:rPr>
          <w:b/>
          <w:sz w:val="24"/>
          <w:vertAlign w:val="superscript"/>
          <w:lang w:val="en-GB"/>
        </w:rPr>
        <w:t>1</w:t>
      </w:r>
      <w:r w:rsidR="000B35FD" w:rsidRPr="00D72832">
        <w:rPr>
          <w:b/>
          <w:sz w:val="24"/>
          <w:lang w:val="en-GB"/>
        </w:rPr>
        <w:t>,</w:t>
      </w:r>
      <w:r w:rsidR="00760F3D" w:rsidRPr="00D72832">
        <w:rPr>
          <w:b/>
          <w:sz w:val="24"/>
          <w:lang w:val="en-GB"/>
        </w:rPr>
        <w:t xml:space="preserve"> </w:t>
      </w:r>
      <w:r w:rsidR="00027F4C" w:rsidRPr="00D72832">
        <w:rPr>
          <w:b/>
          <w:sz w:val="24"/>
          <w:lang w:val="en-GB"/>
        </w:rPr>
        <w:t>J. Li</w:t>
      </w:r>
      <w:r w:rsidR="00027F4C" w:rsidRPr="00D72832">
        <w:rPr>
          <w:b/>
          <w:sz w:val="24"/>
          <w:vertAlign w:val="superscript"/>
          <w:lang w:val="en-GB"/>
        </w:rPr>
        <w:t>3</w:t>
      </w:r>
      <w:r w:rsidR="00027F4C" w:rsidRPr="00D72832">
        <w:rPr>
          <w:b/>
          <w:sz w:val="24"/>
          <w:lang w:val="en-GB"/>
        </w:rPr>
        <w:t xml:space="preserve">, </w:t>
      </w:r>
      <w:r w:rsidR="00413CC2" w:rsidRPr="00D72832">
        <w:rPr>
          <w:b/>
          <w:sz w:val="24"/>
          <w:lang w:val="en-GB"/>
        </w:rPr>
        <w:t>A</w:t>
      </w:r>
      <w:r w:rsidR="000B35FD" w:rsidRPr="00D72832">
        <w:rPr>
          <w:b/>
          <w:sz w:val="24"/>
          <w:lang w:val="en-GB"/>
        </w:rPr>
        <w:t>.</w:t>
      </w:r>
      <w:r w:rsidR="00413CC2" w:rsidRPr="00D72832">
        <w:rPr>
          <w:b/>
          <w:sz w:val="24"/>
          <w:lang w:val="en-GB"/>
        </w:rPr>
        <w:t xml:space="preserve"> Lucassen</w:t>
      </w:r>
      <w:r w:rsidR="00413CC2" w:rsidRPr="00D72832">
        <w:rPr>
          <w:b/>
          <w:sz w:val="24"/>
          <w:vertAlign w:val="superscript"/>
          <w:lang w:val="en-GB"/>
        </w:rPr>
        <w:t>4</w:t>
      </w:r>
      <w:r w:rsidR="00413CC2" w:rsidRPr="00D72832">
        <w:rPr>
          <w:b/>
          <w:sz w:val="24"/>
          <w:lang w:val="en-GB"/>
        </w:rPr>
        <w:t>,</w:t>
      </w:r>
      <w:r w:rsidRPr="00D72832">
        <w:rPr>
          <w:b/>
          <w:sz w:val="24"/>
          <w:lang w:val="en-GB"/>
        </w:rPr>
        <w:t xml:space="preserve"> </w:t>
      </w:r>
      <w:r w:rsidR="00413CC2" w:rsidRPr="00D72832">
        <w:rPr>
          <w:b/>
          <w:sz w:val="24"/>
          <w:lang w:val="en-GB"/>
        </w:rPr>
        <w:t>L</w:t>
      </w:r>
      <w:r w:rsidR="000B35FD" w:rsidRPr="00D72832">
        <w:rPr>
          <w:b/>
          <w:sz w:val="24"/>
          <w:lang w:val="en-GB"/>
        </w:rPr>
        <w:t>.</w:t>
      </w:r>
      <w:r w:rsidR="00413CC2" w:rsidRPr="00D72832">
        <w:rPr>
          <w:b/>
          <w:sz w:val="24"/>
          <w:lang w:val="en-GB"/>
        </w:rPr>
        <w:t xml:space="preserve"> Klare</w:t>
      </w:r>
      <w:r w:rsidR="00413CC2" w:rsidRPr="00D72832">
        <w:rPr>
          <w:b/>
          <w:sz w:val="24"/>
          <w:vertAlign w:val="superscript"/>
          <w:lang w:val="en-GB"/>
        </w:rPr>
        <w:t>5</w:t>
      </w:r>
      <w:r w:rsidR="00413CC2" w:rsidRPr="00D72832">
        <w:rPr>
          <w:b/>
          <w:sz w:val="24"/>
          <w:lang w:val="en-GB"/>
        </w:rPr>
        <w:t xml:space="preserve">, </w:t>
      </w:r>
      <w:r w:rsidR="00801E86" w:rsidRPr="00D72832">
        <w:rPr>
          <w:b/>
          <w:sz w:val="24"/>
          <w:lang w:val="en-GB"/>
        </w:rPr>
        <w:t>P. Eilts</w:t>
      </w:r>
      <w:r w:rsidR="00801E86" w:rsidRPr="00D72832">
        <w:rPr>
          <w:b/>
          <w:sz w:val="24"/>
          <w:vertAlign w:val="superscript"/>
          <w:lang w:val="en-GB"/>
        </w:rPr>
        <w:t>5</w:t>
      </w:r>
      <w:r w:rsidR="00801E86" w:rsidRPr="00D72832">
        <w:rPr>
          <w:b/>
          <w:sz w:val="24"/>
          <w:lang w:val="en-GB"/>
        </w:rPr>
        <w:t xml:space="preserve">, </w:t>
      </w:r>
      <w:r w:rsidR="003F1201" w:rsidRPr="00D72832">
        <w:rPr>
          <w:b/>
          <w:sz w:val="24"/>
          <w:lang w:val="en-GB"/>
        </w:rPr>
        <w:t xml:space="preserve">P. A. Giuliano </w:t>
      </w:r>
      <w:r w:rsidR="00413CC2" w:rsidRPr="00D72832">
        <w:rPr>
          <w:b/>
          <w:sz w:val="24"/>
          <w:lang w:val="en-GB"/>
        </w:rPr>
        <w:t>Albo</w:t>
      </w:r>
      <w:r w:rsidR="00413CC2" w:rsidRPr="00D72832">
        <w:rPr>
          <w:b/>
          <w:sz w:val="24"/>
          <w:vertAlign w:val="superscript"/>
          <w:lang w:val="en-GB"/>
        </w:rPr>
        <w:t>6</w:t>
      </w:r>
      <w:r w:rsidR="00413CC2" w:rsidRPr="00D72832">
        <w:rPr>
          <w:b/>
          <w:sz w:val="24"/>
          <w:lang w:val="en-GB"/>
        </w:rPr>
        <w:t>, M. Richter</w:t>
      </w:r>
      <w:r w:rsidR="00413CC2" w:rsidRPr="00D72832">
        <w:rPr>
          <w:b/>
          <w:sz w:val="24"/>
          <w:vertAlign w:val="superscript"/>
          <w:lang w:val="en-GB"/>
        </w:rPr>
        <w:t>7</w:t>
      </w:r>
      <w:r w:rsidR="00413CC2" w:rsidRPr="00D72832">
        <w:rPr>
          <w:b/>
          <w:sz w:val="24"/>
          <w:lang w:val="en-GB"/>
        </w:rPr>
        <w:t xml:space="preserve">, </w:t>
      </w:r>
      <w:r w:rsidR="003F1201" w:rsidRPr="00D72832">
        <w:rPr>
          <w:b/>
          <w:sz w:val="24"/>
          <w:lang w:val="en-GB"/>
        </w:rPr>
        <w:br/>
      </w:r>
      <w:r w:rsidRPr="00D72832">
        <w:rPr>
          <w:b/>
          <w:sz w:val="24"/>
          <w:lang w:val="en-GB"/>
        </w:rPr>
        <w:t>B. Gieseking</w:t>
      </w:r>
      <w:r w:rsidR="00413CC2" w:rsidRPr="00D72832">
        <w:rPr>
          <w:b/>
          <w:sz w:val="24"/>
          <w:vertAlign w:val="superscript"/>
          <w:lang w:val="en-GB"/>
        </w:rPr>
        <w:t>8</w:t>
      </w:r>
      <w:r w:rsidRPr="00D72832">
        <w:rPr>
          <w:b/>
          <w:sz w:val="24"/>
          <w:lang w:val="en-GB"/>
        </w:rPr>
        <w:t>,</w:t>
      </w:r>
      <w:r w:rsidR="003F1201" w:rsidRPr="00D72832">
        <w:rPr>
          <w:b/>
          <w:sz w:val="24"/>
          <w:lang w:val="en-GB"/>
        </w:rPr>
        <w:t xml:space="preserve"> </w:t>
      </w:r>
      <w:r w:rsidRPr="00D72832">
        <w:rPr>
          <w:b/>
          <w:sz w:val="24"/>
          <w:lang w:val="en-GB"/>
        </w:rPr>
        <w:t>G. Nieuwenkamp</w:t>
      </w:r>
      <w:r w:rsidRPr="00D72832">
        <w:rPr>
          <w:b/>
          <w:sz w:val="24"/>
          <w:vertAlign w:val="superscript"/>
          <w:lang w:val="en-GB"/>
        </w:rPr>
        <w:t>3</w:t>
      </w:r>
      <w:r w:rsidRPr="00D72832">
        <w:rPr>
          <w:b/>
          <w:sz w:val="24"/>
          <w:lang w:val="en-GB"/>
        </w:rPr>
        <w:t>, J. Rauch</w:t>
      </w:r>
      <w:r w:rsidR="007A582D" w:rsidRPr="00D72832">
        <w:rPr>
          <w:b/>
          <w:sz w:val="24"/>
          <w:vertAlign w:val="superscript"/>
          <w:lang w:val="en-GB"/>
        </w:rPr>
        <w:t>4</w:t>
      </w:r>
      <w:r w:rsidR="00413CC2" w:rsidRPr="00D72832">
        <w:rPr>
          <w:b/>
          <w:sz w:val="24"/>
          <w:lang w:val="en-GB"/>
        </w:rPr>
        <w:t>,</w:t>
      </w:r>
      <w:r w:rsidRPr="00D72832">
        <w:rPr>
          <w:b/>
          <w:sz w:val="24"/>
          <w:lang w:val="en-GB"/>
        </w:rPr>
        <w:t xml:space="preserve"> T. Mortensen</w:t>
      </w:r>
      <w:r w:rsidR="00413CC2" w:rsidRPr="00D72832">
        <w:rPr>
          <w:b/>
          <w:sz w:val="24"/>
          <w:vertAlign w:val="superscript"/>
          <w:lang w:val="en-GB"/>
        </w:rPr>
        <w:t>9</w:t>
      </w:r>
    </w:p>
    <w:p w:rsidR="00AD138E" w:rsidRPr="00D72832" w:rsidRDefault="00AD138E" w:rsidP="00AD138E">
      <w:pPr>
        <w:jc w:val="center"/>
        <w:rPr>
          <w:i/>
          <w:sz w:val="16"/>
          <w:szCs w:val="16"/>
          <w:lang w:val="en-GB"/>
        </w:rPr>
      </w:pPr>
    </w:p>
    <w:p w:rsidR="00AD138E" w:rsidRPr="00D72832" w:rsidRDefault="00AD138E" w:rsidP="00AD138E">
      <w:pPr>
        <w:jc w:val="center"/>
        <w:rPr>
          <w:i/>
          <w:sz w:val="20"/>
          <w:lang w:val="en-GB"/>
        </w:rPr>
      </w:pPr>
      <w:r w:rsidRPr="00D72832">
        <w:rPr>
          <w:i/>
          <w:sz w:val="20"/>
          <w:vertAlign w:val="superscript"/>
          <w:lang w:val="en-GB"/>
        </w:rPr>
        <w:t>1</w:t>
      </w:r>
      <w:r w:rsidRPr="00D72832">
        <w:rPr>
          <w:i/>
          <w:sz w:val="20"/>
          <w:lang w:val="en-GB"/>
        </w:rPr>
        <w:t>SP Technical Research Institute of Sweden,</w:t>
      </w:r>
      <w:r w:rsidRPr="00D72832">
        <w:rPr>
          <w:lang w:val="en-GB"/>
        </w:rPr>
        <w:t xml:space="preserve"> </w:t>
      </w:r>
      <w:proofErr w:type="spellStart"/>
      <w:r w:rsidRPr="00D72832">
        <w:rPr>
          <w:i/>
          <w:sz w:val="20"/>
          <w:lang w:val="en-GB"/>
        </w:rPr>
        <w:t>Brinellgatan</w:t>
      </w:r>
      <w:proofErr w:type="spellEnd"/>
      <w:r w:rsidRPr="00D72832">
        <w:rPr>
          <w:i/>
          <w:sz w:val="20"/>
          <w:lang w:val="en-GB"/>
        </w:rPr>
        <w:t xml:space="preserve"> 4, 504 62 </w:t>
      </w:r>
      <w:proofErr w:type="spellStart"/>
      <w:r w:rsidRPr="00D72832">
        <w:rPr>
          <w:i/>
          <w:sz w:val="20"/>
          <w:lang w:val="en-GB"/>
        </w:rPr>
        <w:t>Borås</w:t>
      </w:r>
      <w:proofErr w:type="spellEnd"/>
      <w:r w:rsidRPr="00D72832">
        <w:rPr>
          <w:i/>
          <w:sz w:val="20"/>
          <w:lang w:val="en-GB"/>
        </w:rPr>
        <w:t>, Sweden</w:t>
      </w:r>
    </w:p>
    <w:p w:rsidR="00AD138E" w:rsidRPr="00D72832" w:rsidRDefault="00AD138E" w:rsidP="00AD138E">
      <w:pPr>
        <w:jc w:val="center"/>
        <w:rPr>
          <w:i/>
          <w:sz w:val="20"/>
          <w:lang w:val="en-GB"/>
        </w:rPr>
      </w:pPr>
      <w:r w:rsidRPr="00D72832">
        <w:rPr>
          <w:i/>
          <w:sz w:val="20"/>
          <w:vertAlign w:val="superscript"/>
          <w:lang w:val="en-GB"/>
        </w:rPr>
        <w:t>2</w:t>
      </w:r>
      <w:r w:rsidRPr="00D72832">
        <w:rPr>
          <w:i/>
          <w:sz w:val="20"/>
          <w:lang w:val="en-GB"/>
        </w:rPr>
        <w:t>FORCE Technology,</w:t>
      </w:r>
      <w:r w:rsidRPr="00D72832">
        <w:rPr>
          <w:lang w:val="en-GB"/>
        </w:rPr>
        <w:t xml:space="preserve"> </w:t>
      </w:r>
      <w:r w:rsidRPr="00D72832">
        <w:rPr>
          <w:i/>
          <w:sz w:val="20"/>
          <w:lang w:val="en-GB"/>
        </w:rPr>
        <w:t xml:space="preserve">Park </w:t>
      </w:r>
      <w:proofErr w:type="spellStart"/>
      <w:r w:rsidRPr="00D72832">
        <w:rPr>
          <w:i/>
          <w:sz w:val="20"/>
          <w:lang w:val="en-GB"/>
        </w:rPr>
        <w:t>Allé</w:t>
      </w:r>
      <w:proofErr w:type="spellEnd"/>
      <w:r w:rsidRPr="00D72832">
        <w:rPr>
          <w:i/>
          <w:sz w:val="20"/>
          <w:lang w:val="en-GB"/>
        </w:rPr>
        <w:t xml:space="preserve"> 345, 2605 </w:t>
      </w:r>
      <w:proofErr w:type="spellStart"/>
      <w:r w:rsidRPr="00D72832">
        <w:rPr>
          <w:i/>
          <w:sz w:val="20"/>
          <w:lang w:val="en-GB"/>
        </w:rPr>
        <w:t>Brøndby</w:t>
      </w:r>
      <w:proofErr w:type="spellEnd"/>
      <w:r w:rsidRPr="00D72832">
        <w:rPr>
          <w:i/>
          <w:sz w:val="20"/>
          <w:lang w:val="en-GB"/>
        </w:rPr>
        <w:t>, Denmark</w:t>
      </w:r>
    </w:p>
    <w:p w:rsidR="007A582D" w:rsidRPr="00D72832" w:rsidRDefault="00AD138E" w:rsidP="007A582D">
      <w:pPr>
        <w:jc w:val="center"/>
        <w:rPr>
          <w:i/>
          <w:sz w:val="20"/>
          <w:lang w:val="en-GB"/>
        </w:rPr>
      </w:pPr>
      <w:r w:rsidRPr="00D72832">
        <w:rPr>
          <w:i/>
          <w:sz w:val="20"/>
          <w:vertAlign w:val="superscript"/>
          <w:lang w:val="en-GB"/>
        </w:rPr>
        <w:t>3</w:t>
      </w:r>
      <w:r w:rsidRPr="00D72832">
        <w:rPr>
          <w:i/>
          <w:sz w:val="20"/>
          <w:lang w:val="en-GB"/>
        </w:rPr>
        <w:t>VSL</w:t>
      </w:r>
      <w:r w:rsidR="000B4DBF" w:rsidRPr="00D72832">
        <w:rPr>
          <w:i/>
          <w:sz w:val="20"/>
          <w:lang w:val="en-GB"/>
        </w:rPr>
        <w:t xml:space="preserve"> – Dutch Metrology Institute</w:t>
      </w:r>
      <w:r w:rsidRPr="00D72832">
        <w:rPr>
          <w:i/>
          <w:sz w:val="20"/>
          <w:lang w:val="en-GB"/>
        </w:rPr>
        <w:t xml:space="preserve">, </w:t>
      </w:r>
      <w:proofErr w:type="spellStart"/>
      <w:r w:rsidRPr="00D72832">
        <w:rPr>
          <w:i/>
          <w:sz w:val="20"/>
          <w:lang w:val="en-GB"/>
        </w:rPr>
        <w:t>Thijsseweg</w:t>
      </w:r>
      <w:proofErr w:type="spellEnd"/>
      <w:r w:rsidRPr="00D72832">
        <w:rPr>
          <w:i/>
          <w:sz w:val="20"/>
          <w:lang w:val="en-GB"/>
        </w:rPr>
        <w:t xml:space="preserve"> 11, 2629 JA Delft, the Netherlands</w:t>
      </w:r>
    </w:p>
    <w:p w:rsidR="007A582D" w:rsidRPr="00D72832" w:rsidRDefault="007A582D" w:rsidP="008A0462">
      <w:pPr>
        <w:jc w:val="center"/>
        <w:rPr>
          <w:i/>
          <w:sz w:val="20"/>
          <w:lang w:val="de-DE"/>
        </w:rPr>
      </w:pPr>
      <w:r w:rsidRPr="00D72832">
        <w:rPr>
          <w:i/>
          <w:sz w:val="20"/>
          <w:vertAlign w:val="superscript"/>
          <w:lang w:val="de-DE"/>
        </w:rPr>
        <w:t>4</w:t>
      </w:r>
      <w:r w:rsidRPr="00D72832">
        <w:rPr>
          <w:i/>
          <w:sz w:val="20"/>
          <w:lang w:val="de-DE"/>
        </w:rPr>
        <w:t>PTB, Bundesallee 100, 38116 Braunschweig, Germany</w:t>
      </w:r>
      <w:r w:rsidRPr="00D72832">
        <w:rPr>
          <w:i/>
          <w:sz w:val="20"/>
          <w:lang w:val="de-DE"/>
        </w:rPr>
        <w:br/>
      </w:r>
      <w:r w:rsidRPr="00D72832">
        <w:rPr>
          <w:i/>
          <w:sz w:val="20"/>
          <w:vertAlign w:val="superscript"/>
          <w:lang w:val="de-DE"/>
        </w:rPr>
        <w:t>5</w:t>
      </w:r>
      <w:r w:rsidRPr="00D72832">
        <w:rPr>
          <w:i/>
          <w:sz w:val="20"/>
          <w:lang w:val="de-DE"/>
        </w:rPr>
        <w:t>TU Braunschweig</w:t>
      </w:r>
      <w:r w:rsidR="008A0462" w:rsidRPr="00D72832">
        <w:rPr>
          <w:i/>
          <w:sz w:val="20"/>
          <w:lang w:val="de-DE"/>
        </w:rPr>
        <w:t>, Hermann-</w:t>
      </w:r>
      <w:proofErr w:type="spellStart"/>
      <w:r w:rsidR="008A0462" w:rsidRPr="00D72832">
        <w:rPr>
          <w:i/>
          <w:sz w:val="20"/>
          <w:lang w:val="de-DE"/>
        </w:rPr>
        <w:t>Blenk</w:t>
      </w:r>
      <w:proofErr w:type="spellEnd"/>
      <w:r w:rsidR="008A0462" w:rsidRPr="00D72832">
        <w:rPr>
          <w:i/>
          <w:sz w:val="20"/>
          <w:lang w:val="de-DE"/>
        </w:rPr>
        <w:t>-Straße 42, 38108 Braunschweig, Germany</w:t>
      </w:r>
    </w:p>
    <w:p w:rsidR="007A582D" w:rsidRPr="00D72832" w:rsidRDefault="007A582D" w:rsidP="007A582D">
      <w:pPr>
        <w:jc w:val="center"/>
        <w:rPr>
          <w:i/>
          <w:sz w:val="20"/>
          <w:lang w:val="sv-SE"/>
        </w:rPr>
      </w:pPr>
      <w:r w:rsidRPr="00D72832">
        <w:rPr>
          <w:i/>
          <w:sz w:val="20"/>
          <w:vertAlign w:val="superscript"/>
          <w:lang w:val="sv-SE"/>
        </w:rPr>
        <w:t>6</w:t>
      </w:r>
      <w:r w:rsidRPr="00D72832">
        <w:rPr>
          <w:i/>
          <w:sz w:val="20"/>
          <w:lang w:val="sv-SE"/>
        </w:rPr>
        <w:t>I</w:t>
      </w:r>
      <w:r w:rsidR="001A6F12" w:rsidRPr="00D72832">
        <w:rPr>
          <w:i/>
          <w:sz w:val="20"/>
          <w:lang w:val="sv-SE"/>
        </w:rPr>
        <w:t>NRi</w:t>
      </w:r>
      <w:r w:rsidRPr="00D72832">
        <w:rPr>
          <w:i/>
          <w:sz w:val="20"/>
          <w:lang w:val="sv-SE"/>
        </w:rPr>
        <w:t xml:space="preserve">M, Strada </w:t>
      </w:r>
      <w:proofErr w:type="spellStart"/>
      <w:r w:rsidRPr="00D72832">
        <w:rPr>
          <w:i/>
          <w:sz w:val="20"/>
          <w:lang w:val="sv-SE"/>
        </w:rPr>
        <w:t>delle</w:t>
      </w:r>
      <w:proofErr w:type="spellEnd"/>
      <w:r w:rsidRPr="00D72832">
        <w:rPr>
          <w:i/>
          <w:sz w:val="20"/>
          <w:lang w:val="sv-SE"/>
        </w:rPr>
        <w:t xml:space="preserve"> </w:t>
      </w:r>
      <w:proofErr w:type="spellStart"/>
      <w:r w:rsidRPr="00D72832">
        <w:rPr>
          <w:i/>
          <w:sz w:val="20"/>
          <w:lang w:val="sv-SE"/>
        </w:rPr>
        <w:t>Cacce</w:t>
      </w:r>
      <w:proofErr w:type="spellEnd"/>
      <w:r w:rsidRPr="00D72832">
        <w:rPr>
          <w:i/>
          <w:sz w:val="20"/>
          <w:lang w:val="sv-SE"/>
        </w:rPr>
        <w:t xml:space="preserve"> 91, 10135 Torino, </w:t>
      </w:r>
      <w:proofErr w:type="spellStart"/>
      <w:r w:rsidRPr="00D72832">
        <w:rPr>
          <w:i/>
          <w:sz w:val="20"/>
          <w:lang w:val="sv-SE"/>
        </w:rPr>
        <w:t>Italy</w:t>
      </w:r>
      <w:proofErr w:type="spellEnd"/>
    </w:p>
    <w:p w:rsidR="00AD138E" w:rsidRPr="004D1094" w:rsidRDefault="00E56C65" w:rsidP="00AD138E">
      <w:pPr>
        <w:jc w:val="center"/>
        <w:rPr>
          <w:i/>
          <w:sz w:val="20"/>
          <w:lang w:val="en-GB"/>
        </w:rPr>
      </w:pPr>
      <w:r w:rsidRPr="00D72832">
        <w:rPr>
          <w:i/>
          <w:sz w:val="20"/>
          <w:vertAlign w:val="superscript"/>
          <w:lang w:val="en-GB"/>
        </w:rPr>
        <w:t>7</w:t>
      </w:r>
      <w:r w:rsidR="007A582D" w:rsidRPr="00D72832">
        <w:rPr>
          <w:i/>
          <w:sz w:val="20"/>
          <w:lang w:val="en-GB"/>
        </w:rPr>
        <w:t>RUB, Ruhr-</w:t>
      </w:r>
      <w:proofErr w:type="spellStart"/>
      <w:r w:rsidR="007A582D" w:rsidRPr="00D72832">
        <w:rPr>
          <w:i/>
          <w:sz w:val="20"/>
          <w:lang w:val="en-GB"/>
        </w:rPr>
        <w:t>Universität</w:t>
      </w:r>
      <w:proofErr w:type="spellEnd"/>
      <w:r w:rsidR="007A582D" w:rsidRPr="00D72832">
        <w:rPr>
          <w:i/>
          <w:sz w:val="20"/>
          <w:lang w:val="en-GB"/>
        </w:rPr>
        <w:t xml:space="preserve"> Bochum, 44780 Bochum, Germany</w:t>
      </w:r>
      <w:r w:rsidR="00AD138E" w:rsidRPr="00D72832">
        <w:rPr>
          <w:i/>
          <w:sz w:val="20"/>
          <w:lang w:val="en-GB"/>
        </w:rPr>
        <w:br/>
      </w:r>
      <w:r w:rsidRPr="00D72832">
        <w:rPr>
          <w:i/>
          <w:sz w:val="20"/>
          <w:vertAlign w:val="superscript"/>
          <w:lang w:val="en-GB"/>
        </w:rPr>
        <w:t>8</w:t>
      </w:r>
      <w:r w:rsidR="00AD138E" w:rsidRPr="00D72832">
        <w:rPr>
          <w:i/>
          <w:sz w:val="20"/>
          <w:lang w:val="en-GB"/>
        </w:rPr>
        <w:t xml:space="preserve">NPL, Hampton Road, Teddington Middlesex TW11 0LW, United </w:t>
      </w:r>
      <w:r w:rsidR="00AD138E" w:rsidRPr="004D1094">
        <w:rPr>
          <w:i/>
          <w:sz w:val="20"/>
          <w:lang w:val="en-GB"/>
        </w:rPr>
        <w:t>Kingdom</w:t>
      </w:r>
    </w:p>
    <w:p w:rsidR="00AD138E" w:rsidRPr="004D1094" w:rsidRDefault="00E56C65" w:rsidP="00AD138E">
      <w:pPr>
        <w:jc w:val="center"/>
        <w:rPr>
          <w:i/>
          <w:sz w:val="20"/>
          <w:lang w:val="en-GB"/>
        </w:rPr>
      </w:pPr>
      <w:r w:rsidRPr="004D1094">
        <w:rPr>
          <w:i/>
          <w:sz w:val="20"/>
          <w:vertAlign w:val="superscript"/>
          <w:lang w:val="en-GB"/>
        </w:rPr>
        <w:t>9</w:t>
      </w:r>
      <w:r w:rsidR="00AD138E" w:rsidRPr="004D1094">
        <w:rPr>
          <w:i/>
          <w:sz w:val="20"/>
          <w:lang w:val="en-GB"/>
        </w:rPr>
        <w:t xml:space="preserve">Justervesenet, </w:t>
      </w:r>
      <w:proofErr w:type="spellStart"/>
      <w:r w:rsidR="00AD138E" w:rsidRPr="004D1094">
        <w:rPr>
          <w:i/>
          <w:sz w:val="20"/>
          <w:lang w:val="en-GB"/>
        </w:rPr>
        <w:t>Fetveien</w:t>
      </w:r>
      <w:proofErr w:type="spellEnd"/>
      <w:r w:rsidR="00AD138E" w:rsidRPr="004D1094">
        <w:rPr>
          <w:i/>
          <w:sz w:val="20"/>
          <w:lang w:val="en-GB"/>
        </w:rPr>
        <w:t xml:space="preserve"> 99, 2007 </w:t>
      </w:r>
      <w:proofErr w:type="spellStart"/>
      <w:r w:rsidR="00AD138E" w:rsidRPr="004D1094">
        <w:rPr>
          <w:i/>
          <w:sz w:val="20"/>
          <w:lang w:val="en-GB"/>
        </w:rPr>
        <w:t>Kjeller</w:t>
      </w:r>
      <w:proofErr w:type="spellEnd"/>
      <w:r w:rsidR="00AD138E" w:rsidRPr="004D1094">
        <w:rPr>
          <w:i/>
          <w:sz w:val="20"/>
          <w:lang w:val="en-GB"/>
        </w:rPr>
        <w:t>, Norway</w:t>
      </w:r>
      <w:r w:rsidR="00AD138E" w:rsidRPr="004D1094">
        <w:rPr>
          <w:i/>
          <w:sz w:val="20"/>
          <w:lang w:val="en-GB"/>
        </w:rPr>
        <w:br/>
      </w:r>
      <w:r w:rsidR="00AD138E" w:rsidRPr="004D1094">
        <w:rPr>
          <w:i/>
          <w:sz w:val="20"/>
          <w:lang w:val="en-GB"/>
        </w:rPr>
        <w:br/>
        <w:t>E-mail (corresponding author): oliver.buker@sp.se</w:t>
      </w:r>
    </w:p>
    <w:p w:rsidR="005F2C46" w:rsidRPr="004D1094" w:rsidRDefault="00792C8C">
      <w:pPr>
        <w:rPr>
          <w:lang w:val="en-GB"/>
        </w:rPr>
      </w:pPr>
      <w:r>
        <w:rPr>
          <w:lang w:val="en-GB"/>
        </w:rPr>
        <w:pict>
          <v:rect id="_x0000_i1025" style="width:0;height:1.5pt" o:hralign="center" o:hrstd="t" o:hr="t" fillcolor="gray" stroked="f"/>
        </w:pict>
      </w:r>
    </w:p>
    <w:p w:rsidR="005F2C46" w:rsidRPr="004D1094" w:rsidRDefault="005F2C46" w:rsidP="00AB51F5">
      <w:pPr>
        <w:pStyle w:val="Rubrik1"/>
        <w:rPr>
          <w:lang w:val="en-GB"/>
        </w:rPr>
      </w:pPr>
      <w:r w:rsidRPr="004D1094">
        <w:rPr>
          <w:lang w:val="en-GB"/>
        </w:rPr>
        <w:t>Abstract</w:t>
      </w:r>
    </w:p>
    <w:p w:rsidR="00D47352" w:rsidRPr="004D1094" w:rsidRDefault="00D47352" w:rsidP="009E67E9">
      <w:pPr>
        <w:jc w:val="both"/>
        <w:rPr>
          <w:sz w:val="20"/>
          <w:lang w:val="en-GB"/>
        </w:rPr>
      </w:pPr>
    </w:p>
    <w:p w:rsidR="005F2C46" w:rsidRPr="004D1094" w:rsidRDefault="00166BE1" w:rsidP="009E67E9">
      <w:pPr>
        <w:jc w:val="both"/>
        <w:rPr>
          <w:lang w:val="en-GB"/>
        </w:rPr>
      </w:pPr>
      <w:r w:rsidRPr="004D1094">
        <w:rPr>
          <w:sz w:val="20"/>
          <w:lang w:val="en-GB"/>
        </w:rPr>
        <w:t>In the framework of the ongoing EMRP Joint Research Project (JRP) ENG 60 “Metrology for LNG” (2014-2017), co-</w:t>
      </w:r>
      <w:r w:rsidRPr="00D72832">
        <w:rPr>
          <w:sz w:val="20"/>
          <w:lang w:val="en-GB"/>
        </w:rPr>
        <w:t xml:space="preserve">funded by the European Union, a number of metrological challenges associated with custody transfer and transport of LNG will be faced. The project consists of four </w:t>
      </w:r>
      <w:r w:rsidR="00EE5116" w:rsidRPr="00D72832">
        <w:rPr>
          <w:sz w:val="20"/>
          <w:lang w:val="en-GB"/>
        </w:rPr>
        <w:t xml:space="preserve">technical </w:t>
      </w:r>
      <w:r w:rsidRPr="00D72832">
        <w:rPr>
          <w:sz w:val="20"/>
          <w:lang w:val="en-GB"/>
        </w:rPr>
        <w:t xml:space="preserve">work packages (WP), whereby the main objective is to reduce the measurement uncertainty of LNG custody transfer by a factor two. The focus in WP1 is the design and development of a traceable mid-scale calibration standard for LNG mass and volume flow. The goal is to provide traceable mass and volume flow calibrations </w:t>
      </w:r>
      <w:proofErr w:type="gramStart"/>
      <w:r w:rsidRPr="00D72832">
        <w:rPr>
          <w:sz w:val="20"/>
          <w:lang w:val="en-GB"/>
        </w:rPr>
        <w:t xml:space="preserve">up to </w:t>
      </w:r>
      <w:r w:rsidR="004A2996" w:rsidRPr="00D72832">
        <w:rPr>
          <w:sz w:val="20"/>
          <w:lang w:val="en-GB"/>
        </w:rPr>
        <w:t>4</w:t>
      </w:r>
      <w:r w:rsidR="0039651A" w:rsidRPr="00D72832">
        <w:rPr>
          <w:sz w:val="20"/>
          <w:lang w:val="en-GB"/>
        </w:rPr>
        <w:t>00 m3/h (18</w:t>
      </w:r>
      <w:r w:rsidRPr="00D72832">
        <w:rPr>
          <w:sz w:val="20"/>
          <w:lang w:val="en-GB"/>
        </w:rPr>
        <w:t>0000 kg/h)</w:t>
      </w:r>
      <w:proofErr w:type="gramEnd"/>
      <w:r w:rsidRPr="00D72832">
        <w:rPr>
          <w:sz w:val="20"/>
          <w:lang w:val="en-GB"/>
        </w:rPr>
        <w:t xml:space="preserve">. </w:t>
      </w:r>
      <w:r w:rsidR="00EE5116" w:rsidRPr="00D72832">
        <w:rPr>
          <w:sz w:val="20"/>
          <w:lang w:val="en-GB"/>
        </w:rPr>
        <w:t>In WP2, the emphasis is on the development and validation of a LNG sampling and composition measurem</w:t>
      </w:r>
      <w:r w:rsidR="00FD20EB" w:rsidRPr="00D72832">
        <w:rPr>
          <w:sz w:val="20"/>
          <w:lang w:val="en-GB"/>
        </w:rPr>
        <w:t>ent reference standard, consisting</w:t>
      </w:r>
      <w:r w:rsidR="00EE5116" w:rsidRPr="00D72832">
        <w:rPr>
          <w:sz w:val="20"/>
          <w:lang w:val="en-GB"/>
        </w:rPr>
        <w:t xml:space="preserve"> of sampler, vaporizer, gas standards, and gas chromatography (GC), which will be used to  test and calibrate commercially available LNG sampling and composition measurement systems</w:t>
      </w:r>
      <w:r w:rsidR="00FB7CCA" w:rsidRPr="00D72832">
        <w:rPr>
          <w:sz w:val="20"/>
          <w:lang w:val="en-GB"/>
        </w:rPr>
        <w:t>.</w:t>
      </w:r>
      <w:r w:rsidRPr="00D72832">
        <w:rPr>
          <w:sz w:val="20"/>
          <w:lang w:val="en-GB"/>
        </w:rPr>
        <w:t xml:space="preserve"> The priority in WP3 is given to the development and validation of a method for the determination of the methane number, including correlations based on the LNG composition and corrections for traces of nitrogen and higher hydrocarbons. Since physical properties and quantities play an important role in LNG custody transfer, WP4 comprises reference quality density measurements of LNG to validate and improve </w:t>
      </w:r>
      <w:r w:rsidRPr="004D1094">
        <w:rPr>
          <w:sz w:val="20"/>
          <w:lang w:val="en-GB"/>
        </w:rPr>
        <w:t>models for LNG density predictions, the uncertainty evaluation of enthalpy and calorific value calculations and the development of a novel cryogenic sensor for the simultaneous measurement of speed-of-sound and density. The present paper gives an overview of recently achieved objectives within the project and provides an outlook to future activities</w:t>
      </w:r>
      <w:r w:rsidR="00AD138E" w:rsidRPr="004D1094">
        <w:rPr>
          <w:sz w:val="20"/>
          <w:lang w:val="en-GB"/>
        </w:rPr>
        <w:t>.</w:t>
      </w:r>
      <w:r w:rsidR="005912E1" w:rsidRPr="004D1094">
        <w:rPr>
          <w:sz w:val="20"/>
          <w:lang w:val="en-GB"/>
        </w:rPr>
        <w:t xml:space="preserve"> </w:t>
      </w:r>
      <w:r w:rsidR="00792C8C">
        <w:rPr>
          <w:lang w:val="en-GB"/>
        </w:rPr>
        <w:pict>
          <v:rect id="_x0000_i1026" style="width:0;height:1.5pt" o:hralign="center" o:hrstd="t" o:hr="t" fillcolor="gray" stroked="f"/>
        </w:pict>
      </w:r>
    </w:p>
    <w:p w:rsidR="00EA6110" w:rsidRPr="004D1094" w:rsidRDefault="00EA6110">
      <w:pPr>
        <w:rPr>
          <w:lang w:val="en-GB"/>
        </w:rPr>
        <w:sectPr w:rsidR="00EA6110" w:rsidRPr="004D1094" w:rsidSect="00A86C33">
          <w:footerReference w:type="default" r:id="rId9"/>
          <w:pgSz w:w="11906" w:h="16838"/>
          <w:pgMar w:top="1440" w:right="1077" w:bottom="1440" w:left="1077" w:header="720" w:footer="720" w:gutter="0"/>
          <w:cols w:space="720"/>
        </w:sectPr>
      </w:pPr>
    </w:p>
    <w:p w:rsidR="005F2C46" w:rsidRPr="004D1094" w:rsidRDefault="005F2C46">
      <w:pPr>
        <w:pStyle w:val="Rubrik1"/>
        <w:rPr>
          <w:lang w:val="en-GB"/>
        </w:rPr>
      </w:pPr>
      <w:r w:rsidRPr="004D1094">
        <w:rPr>
          <w:lang w:val="en-GB"/>
        </w:rPr>
        <w:lastRenderedPageBreak/>
        <w:t>1. Introduction</w:t>
      </w:r>
    </w:p>
    <w:p w:rsidR="005F2C46" w:rsidRPr="004D1094" w:rsidRDefault="005F2C46">
      <w:pPr>
        <w:pStyle w:val="Brdtext"/>
        <w:rPr>
          <w:lang w:val="en-GB"/>
        </w:rPr>
      </w:pPr>
    </w:p>
    <w:p w:rsidR="00AD138E" w:rsidRPr="004D1094" w:rsidRDefault="003E70BC">
      <w:pPr>
        <w:pStyle w:val="Brdtext"/>
        <w:rPr>
          <w:sz w:val="16"/>
          <w:szCs w:val="16"/>
          <w:lang w:val="en-GB"/>
        </w:rPr>
      </w:pPr>
      <w:r w:rsidRPr="004D1094">
        <w:rPr>
          <w:lang w:val="en-GB"/>
        </w:rPr>
        <w:t xml:space="preserve">With a view to the worldwide rise in energy consumption and </w:t>
      </w:r>
      <w:r w:rsidRPr="000E43D5">
        <w:rPr>
          <w:lang w:val="en-GB"/>
        </w:rPr>
        <w:t xml:space="preserve">the resulting increasing emission of greenhouse gases, as well as the </w:t>
      </w:r>
      <w:r w:rsidR="00966B7A" w:rsidRPr="000E43D5">
        <w:rPr>
          <w:lang w:val="en-GB"/>
        </w:rPr>
        <w:t xml:space="preserve">continual tightening of </w:t>
      </w:r>
      <w:r w:rsidRPr="000E43D5">
        <w:rPr>
          <w:lang w:val="en-GB"/>
        </w:rPr>
        <w:t xml:space="preserve">emission regulations, there is a growing demand for </w:t>
      </w:r>
      <w:r w:rsidRPr="004D1094">
        <w:rPr>
          <w:lang w:val="en-GB"/>
        </w:rPr>
        <w:t xml:space="preserve">natural gas. Compared to other fossil such as oil and coal, natural gas is </w:t>
      </w:r>
      <w:r w:rsidR="004B5C0B" w:rsidRPr="004D1094">
        <w:rPr>
          <w:lang w:val="en-GB"/>
        </w:rPr>
        <w:t xml:space="preserve">by far </w:t>
      </w:r>
      <w:r w:rsidRPr="004D1094">
        <w:rPr>
          <w:lang w:val="en-GB"/>
        </w:rPr>
        <w:t xml:space="preserve">the cleanest and most environmentally-friendly fuel available. </w:t>
      </w:r>
    </w:p>
    <w:p w:rsidR="003E70BC" w:rsidRPr="004D1094" w:rsidRDefault="005B539C" w:rsidP="00D15B78">
      <w:pPr>
        <w:pStyle w:val="Brdtext"/>
        <w:keepNext/>
        <w:jc w:val="center"/>
        <w:rPr>
          <w:lang w:val="en-GB"/>
        </w:rPr>
      </w:pPr>
      <w:r w:rsidRPr="004D1094">
        <w:rPr>
          <w:noProof/>
          <w:lang w:val="sv-SE" w:eastAsia="sv-SE"/>
        </w:rPr>
        <w:drawing>
          <wp:inline distT="0" distB="0" distL="0" distR="0" wp14:anchorId="06D50981" wp14:editId="35DA3D3B">
            <wp:extent cx="2880000" cy="1878338"/>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878338"/>
                    </a:xfrm>
                    <a:prstGeom prst="rect">
                      <a:avLst/>
                    </a:prstGeom>
                    <a:noFill/>
                  </pic:spPr>
                </pic:pic>
              </a:graphicData>
            </a:graphic>
          </wp:inline>
        </w:drawing>
      </w:r>
    </w:p>
    <w:p w:rsidR="003E70BC" w:rsidRPr="004D1094" w:rsidRDefault="003E70BC" w:rsidP="003E70BC">
      <w:pPr>
        <w:pStyle w:val="Beskrivning"/>
        <w:rPr>
          <w:lang w:val="en-GB"/>
        </w:rPr>
      </w:pPr>
      <w:bookmarkStart w:id="0" w:name="_Ref456707148"/>
      <w:r w:rsidRPr="004D1094">
        <w:rPr>
          <w:lang w:val="en-GB"/>
        </w:rPr>
        <w:t xml:space="preserve">Figure </w:t>
      </w:r>
      <w:r w:rsidRPr="004D1094">
        <w:rPr>
          <w:lang w:val="en-GB"/>
        </w:rPr>
        <w:fldChar w:fldCharType="begin"/>
      </w:r>
      <w:r w:rsidRPr="004D1094">
        <w:rPr>
          <w:lang w:val="en-GB"/>
        </w:rPr>
        <w:instrText xml:space="preserve"> SEQ Figur \* ARABIC </w:instrText>
      </w:r>
      <w:r w:rsidRPr="004D1094">
        <w:rPr>
          <w:lang w:val="en-GB"/>
        </w:rPr>
        <w:fldChar w:fldCharType="separate"/>
      </w:r>
      <w:r w:rsidR="00650C3B">
        <w:rPr>
          <w:noProof/>
          <w:lang w:val="en-GB"/>
        </w:rPr>
        <w:t>1</w:t>
      </w:r>
      <w:r w:rsidRPr="004D1094">
        <w:rPr>
          <w:lang w:val="en-GB"/>
        </w:rPr>
        <w:fldChar w:fldCharType="end"/>
      </w:r>
      <w:bookmarkEnd w:id="0"/>
      <w:r w:rsidRPr="004D1094">
        <w:rPr>
          <w:lang w:val="en-GB"/>
        </w:rPr>
        <w:t xml:space="preserve"> </w:t>
      </w:r>
      <w:r w:rsidR="00B50EF3" w:rsidRPr="004D1094">
        <w:rPr>
          <w:lang w:val="en-GB"/>
        </w:rPr>
        <w:t>– Worldwide natural gas consumption,</w:t>
      </w:r>
      <w:r w:rsidR="003507D5" w:rsidRPr="004D1094">
        <w:rPr>
          <w:lang w:val="en-GB"/>
        </w:rPr>
        <w:t xml:space="preserve"> between 1965 and </w:t>
      </w:r>
      <w:r w:rsidR="00B50EF3" w:rsidRPr="004D1094">
        <w:rPr>
          <w:lang w:val="en-GB"/>
        </w:rPr>
        <w:t>2015</w:t>
      </w:r>
      <w:r w:rsidR="003507D5" w:rsidRPr="004D1094">
        <w:rPr>
          <w:lang w:val="en-GB"/>
        </w:rPr>
        <w:t xml:space="preserve"> according to</w:t>
      </w:r>
      <w:r w:rsidR="00414E4F" w:rsidRPr="004D1094">
        <w:rPr>
          <w:lang w:val="en-GB"/>
        </w:rPr>
        <w:t xml:space="preserve"> BPs statistical review of world energy </w:t>
      </w:r>
      <w:r w:rsidR="00AC3BB5" w:rsidRPr="004D1094">
        <w:rPr>
          <w:lang w:val="en-GB"/>
        </w:rPr>
        <w:fldChar w:fldCharType="begin"/>
      </w:r>
      <w:r w:rsidR="00AC3BB5" w:rsidRPr="004D1094">
        <w:rPr>
          <w:lang w:val="en-GB"/>
        </w:rPr>
        <w:instrText xml:space="preserve"> REF _Ref456773457 \r \h </w:instrText>
      </w:r>
      <w:r w:rsidR="00AC3BB5" w:rsidRPr="004D1094">
        <w:rPr>
          <w:lang w:val="en-GB"/>
        </w:rPr>
      </w:r>
      <w:r w:rsidR="00AC3BB5" w:rsidRPr="004D1094">
        <w:rPr>
          <w:lang w:val="en-GB"/>
        </w:rPr>
        <w:fldChar w:fldCharType="separate"/>
      </w:r>
      <w:r w:rsidR="00650C3B">
        <w:rPr>
          <w:lang w:val="en-GB"/>
        </w:rPr>
        <w:t>[1]</w:t>
      </w:r>
      <w:r w:rsidR="00AC3BB5" w:rsidRPr="004D1094">
        <w:rPr>
          <w:lang w:val="en-GB"/>
        </w:rPr>
        <w:fldChar w:fldCharType="end"/>
      </w:r>
      <w:r w:rsidR="00D20435" w:rsidRPr="004D1094">
        <w:rPr>
          <w:lang w:val="en-GB"/>
        </w:rPr>
        <w:t>.</w:t>
      </w:r>
    </w:p>
    <w:p w:rsidR="00AD7737" w:rsidRPr="004D1094" w:rsidRDefault="00AD138E" w:rsidP="009C7EC0">
      <w:pPr>
        <w:pStyle w:val="Brdtext"/>
        <w:rPr>
          <w:lang w:val="en-GB"/>
        </w:rPr>
      </w:pPr>
      <w:r w:rsidRPr="004D1094">
        <w:rPr>
          <w:lang w:val="en-GB"/>
        </w:rPr>
        <w:lastRenderedPageBreak/>
        <w:t>Natural gas has already today a share on the world pri</w:t>
      </w:r>
      <w:r w:rsidR="00FF0FF3">
        <w:rPr>
          <w:lang w:val="en-GB"/>
        </w:rPr>
        <w:t>mary energy consumption of 23.85</w:t>
      </w:r>
      <w:r w:rsidRPr="004D1094">
        <w:rPr>
          <w:lang w:val="en-GB"/>
        </w:rPr>
        <w:t>% (201</w:t>
      </w:r>
      <w:r w:rsidR="00FF0FF3">
        <w:rPr>
          <w:lang w:val="en-GB"/>
        </w:rPr>
        <w:t>5</w:t>
      </w:r>
      <w:r w:rsidRPr="004D1094">
        <w:rPr>
          <w:lang w:val="en-GB"/>
        </w:rPr>
        <w:t xml:space="preserve">) </w:t>
      </w:r>
      <w:r w:rsidR="006F5426" w:rsidRPr="004D1094">
        <w:rPr>
          <w:lang w:val="en-GB"/>
        </w:rPr>
        <w:fldChar w:fldCharType="begin"/>
      </w:r>
      <w:r w:rsidR="006F5426" w:rsidRPr="004D1094">
        <w:rPr>
          <w:lang w:val="en-GB"/>
        </w:rPr>
        <w:instrText xml:space="preserve"> REF _Ref456773457 \r \h </w:instrText>
      </w:r>
      <w:r w:rsidR="006F5426" w:rsidRPr="004D1094">
        <w:rPr>
          <w:lang w:val="en-GB"/>
        </w:rPr>
      </w:r>
      <w:r w:rsidR="006F5426" w:rsidRPr="004D1094">
        <w:rPr>
          <w:lang w:val="en-GB"/>
        </w:rPr>
        <w:fldChar w:fldCharType="separate"/>
      </w:r>
      <w:r w:rsidR="00650C3B">
        <w:rPr>
          <w:lang w:val="en-GB"/>
        </w:rPr>
        <w:t>[1]</w:t>
      </w:r>
      <w:r w:rsidR="006F5426" w:rsidRPr="004D1094">
        <w:rPr>
          <w:lang w:val="en-GB"/>
        </w:rPr>
        <w:fldChar w:fldCharType="end"/>
      </w:r>
      <w:r w:rsidRPr="004D1094">
        <w:rPr>
          <w:lang w:val="en-GB"/>
        </w:rPr>
        <w:t xml:space="preserve">. </w:t>
      </w:r>
      <w:r w:rsidRPr="004D1094">
        <w:rPr>
          <w:lang w:val="en-GB"/>
        </w:rPr>
        <w:br/>
        <w:t xml:space="preserve">In order to meet the growing demand a constant increase in the worldwide trade of natural </w:t>
      </w:r>
      <w:r w:rsidR="00097658" w:rsidRPr="004D1094">
        <w:rPr>
          <w:lang w:val="en-GB"/>
        </w:rPr>
        <w:t xml:space="preserve">gas </w:t>
      </w:r>
      <w:r w:rsidRPr="004D1094">
        <w:rPr>
          <w:lang w:val="en-GB"/>
        </w:rPr>
        <w:t>was recorded over t</w:t>
      </w:r>
      <w:r w:rsidR="006F5426" w:rsidRPr="004D1094">
        <w:rPr>
          <w:lang w:val="en-GB"/>
        </w:rPr>
        <w:t xml:space="preserve">he last decades and forecasts </w:t>
      </w:r>
      <w:r w:rsidR="006F5426" w:rsidRPr="004D1094">
        <w:rPr>
          <w:lang w:val="en-GB"/>
        </w:rPr>
        <w:fldChar w:fldCharType="begin"/>
      </w:r>
      <w:r w:rsidR="006F5426" w:rsidRPr="004D1094">
        <w:rPr>
          <w:lang w:val="en-GB"/>
        </w:rPr>
        <w:instrText xml:space="preserve"> REF _Ref456773481 \r \h </w:instrText>
      </w:r>
      <w:r w:rsidR="00D2428A" w:rsidRPr="004D1094">
        <w:rPr>
          <w:lang w:val="en-GB"/>
        </w:rPr>
        <w:instrText xml:space="preserve"> \* MERGEFORMAT </w:instrText>
      </w:r>
      <w:r w:rsidR="006F5426" w:rsidRPr="004D1094">
        <w:rPr>
          <w:lang w:val="en-GB"/>
        </w:rPr>
      </w:r>
      <w:r w:rsidR="006F5426" w:rsidRPr="004D1094">
        <w:rPr>
          <w:lang w:val="en-GB"/>
        </w:rPr>
        <w:fldChar w:fldCharType="separate"/>
      </w:r>
      <w:r w:rsidR="00650C3B">
        <w:rPr>
          <w:lang w:val="en-GB"/>
        </w:rPr>
        <w:t>[2]</w:t>
      </w:r>
      <w:r w:rsidR="006F5426" w:rsidRPr="004D1094">
        <w:rPr>
          <w:lang w:val="en-GB"/>
        </w:rPr>
        <w:fldChar w:fldCharType="end"/>
      </w:r>
      <w:r w:rsidR="003E3482" w:rsidRPr="004D1094">
        <w:rPr>
          <w:lang w:val="en-GB"/>
        </w:rPr>
        <w:t xml:space="preserve"> </w:t>
      </w:r>
      <w:r w:rsidRPr="004D1094">
        <w:rPr>
          <w:lang w:val="en-GB"/>
        </w:rPr>
        <w:t>have predicted further growth.</w:t>
      </w:r>
      <w:r w:rsidR="005B4132" w:rsidRPr="004D1094">
        <w:rPr>
          <w:lang w:val="en-GB"/>
        </w:rPr>
        <w:t xml:space="preserve"> As it can be seen in </w:t>
      </w:r>
      <w:r w:rsidR="000448FB" w:rsidRPr="004D1094">
        <w:rPr>
          <w:b/>
          <w:lang w:val="en-GB"/>
        </w:rPr>
        <w:fldChar w:fldCharType="begin"/>
      </w:r>
      <w:r w:rsidR="000448FB" w:rsidRPr="004D1094">
        <w:rPr>
          <w:b/>
          <w:lang w:val="en-GB"/>
        </w:rPr>
        <w:instrText xml:space="preserve"> REF _Ref456707148 \h </w:instrText>
      </w:r>
      <w:r w:rsidR="006871AF" w:rsidRPr="004D1094">
        <w:rPr>
          <w:b/>
          <w:lang w:val="en-GB"/>
        </w:rPr>
        <w:instrText xml:space="preserve"> \* MERGEFORMAT </w:instrText>
      </w:r>
      <w:r w:rsidR="000448FB" w:rsidRPr="004D1094">
        <w:rPr>
          <w:b/>
          <w:lang w:val="en-GB"/>
        </w:rPr>
      </w:r>
      <w:r w:rsidR="000448FB" w:rsidRPr="004D1094">
        <w:rPr>
          <w:b/>
          <w:lang w:val="en-GB"/>
        </w:rPr>
        <w:fldChar w:fldCharType="separate"/>
      </w:r>
      <w:r w:rsidR="00650C3B" w:rsidRPr="00650C3B">
        <w:rPr>
          <w:b/>
          <w:lang w:val="en-GB"/>
        </w:rPr>
        <w:t xml:space="preserve">Figure </w:t>
      </w:r>
      <w:r w:rsidR="00650C3B" w:rsidRPr="00650C3B">
        <w:rPr>
          <w:b/>
          <w:noProof/>
          <w:lang w:val="en-GB"/>
        </w:rPr>
        <w:t>1</w:t>
      </w:r>
      <w:r w:rsidR="000448FB" w:rsidRPr="004D1094">
        <w:rPr>
          <w:b/>
          <w:lang w:val="en-GB"/>
        </w:rPr>
        <w:fldChar w:fldCharType="end"/>
      </w:r>
      <w:r w:rsidR="005B4132" w:rsidRPr="004D1094">
        <w:rPr>
          <w:lang w:val="en-GB"/>
        </w:rPr>
        <w:t xml:space="preserve">, the worldwide consumption of </w:t>
      </w:r>
      <w:r w:rsidR="00D951EA" w:rsidRPr="004D1094">
        <w:rPr>
          <w:lang w:val="en-GB"/>
        </w:rPr>
        <w:t>natural gas</w:t>
      </w:r>
      <w:r w:rsidR="005B4132" w:rsidRPr="004D1094">
        <w:rPr>
          <w:lang w:val="en-GB"/>
        </w:rPr>
        <w:t xml:space="preserve"> has more than doubled in the past 30 years (1985: 1642.8 </w:t>
      </w:r>
      <w:proofErr w:type="spellStart"/>
      <w:r w:rsidR="005B4132" w:rsidRPr="004D1094">
        <w:rPr>
          <w:lang w:val="en-GB"/>
        </w:rPr>
        <w:t>bn</w:t>
      </w:r>
      <w:proofErr w:type="spellEnd"/>
      <w:r w:rsidR="005B4132" w:rsidRPr="004D1094">
        <w:rPr>
          <w:lang w:val="en-GB"/>
        </w:rPr>
        <w:t xml:space="preserve"> m</w:t>
      </w:r>
      <w:r w:rsidR="005B4132" w:rsidRPr="004D1094">
        <w:rPr>
          <w:vertAlign w:val="superscript"/>
          <w:lang w:val="en-GB"/>
        </w:rPr>
        <w:t>3</w:t>
      </w:r>
      <w:r w:rsidR="005B4132" w:rsidRPr="004D1094">
        <w:rPr>
          <w:lang w:val="en-GB"/>
        </w:rPr>
        <w:t xml:space="preserve">, 2015: 3468.6 </w:t>
      </w:r>
      <w:proofErr w:type="spellStart"/>
      <w:r w:rsidR="005B4132" w:rsidRPr="004D1094">
        <w:rPr>
          <w:lang w:val="en-GB"/>
        </w:rPr>
        <w:t>bn</w:t>
      </w:r>
      <w:proofErr w:type="spellEnd"/>
      <w:r w:rsidR="005B4132" w:rsidRPr="004D1094">
        <w:rPr>
          <w:lang w:val="en-GB"/>
        </w:rPr>
        <w:t xml:space="preserve"> m</w:t>
      </w:r>
      <w:r w:rsidR="005B4132" w:rsidRPr="004D1094">
        <w:rPr>
          <w:vertAlign w:val="superscript"/>
          <w:lang w:val="en-GB"/>
        </w:rPr>
        <w:t>3</w:t>
      </w:r>
      <w:r w:rsidR="005B4132" w:rsidRPr="004D1094">
        <w:rPr>
          <w:lang w:val="en-GB"/>
        </w:rPr>
        <w:t>). For an efficient and effective distribution of natural gas from its origin to the consumer a sophisticated and extensive transportation system is needed. Liquefied Natural Gas (LNG) has an important role in addressing the global natural gas demand</w:t>
      </w:r>
      <w:r w:rsidR="00EB17C9" w:rsidRPr="004D1094">
        <w:rPr>
          <w:lang w:val="en-GB"/>
        </w:rPr>
        <w:t>, especially for remote and/ or offshore locations</w:t>
      </w:r>
      <w:r w:rsidR="005B4132" w:rsidRPr="004D1094">
        <w:rPr>
          <w:lang w:val="en-GB"/>
        </w:rPr>
        <w:t>. The primary transportation system</w:t>
      </w:r>
      <w:r w:rsidR="00045197" w:rsidRPr="004D1094">
        <w:rPr>
          <w:lang w:val="en-GB"/>
        </w:rPr>
        <w:t>s</w:t>
      </w:r>
      <w:r w:rsidR="005B4132" w:rsidRPr="004D1094">
        <w:rPr>
          <w:lang w:val="en-GB"/>
        </w:rPr>
        <w:t xml:space="preserve"> for natural gas </w:t>
      </w:r>
      <w:r w:rsidR="00045197" w:rsidRPr="004D1094">
        <w:rPr>
          <w:lang w:val="en-GB"/>
        </w:rPr>
        <w:t>are</w:t>
      </w:r>
      <w:r w:rsidR="005B4132" w:rsidRPr="004D1094">
        <w:rPr>
          <w:lang w:val="en-GB"/>
        </w:rPr>
        <w:t xml:space="preserve"> pipelines. Pipeline transport accounted for 67.55% </w:t>
      </w:r>
      <w:r w:rsidR="00045197" w:rsidRPr="004D1094">
        <w:rPr>
          <w:lang w:val="en-GB"/>
        </w:rPr>
        <w:t xml:space="preserve">(2015: 704.1 </w:t>
      </w:r>
      <w:proofErr w:type="spellStart"/>
      <w:r w:rsidR="00045197" w:rsidRPr="004D1094">
        <w:rPr>
          <w:lang w:val="en-GB"/>
        </w:rPr>
        <w:t>bn</w:t>
      </w:r>
      <w:proofErr w:type="spellEnd"/>
      <w:r w:rsidR="00045197" w:rsidRPr="004D1094">
        <w:rPr>
          <w:lang w:val="en-GB"/>
        </w:rPr>
        <w:t xml:space="preserve"> m3) </w:t>
      </w:r>
      <w:r w:rsidR="005B4132" w:rsidRPr="004D1094">
        <w:rPr>
          <w:lang w:val="en-GB"/>
        </w:rPr>
        <w:t xml:space="preserve">and LNG for 32.45 % (2015: 338.3 </w:t>
      </w:r>
      <w:proofErr w:type="spellStart"/>
      <w:r w:rsidR="005B4132" w:rsidRPr="004D1094">
        <w:rPr>
          <w:lang w:val="en-GB"/>
        </w:rPr>
        <w:t>bn</w:t>
      </w:r>
      <w:proofErr w:type="spellEnd"/>
      <w:r w:rsidR="005B4132" w:rsidRPr="004D1094">
        <w:rPr>
          <w:lang w:val="en-GB"/>
        </w:rPr>
        <w:t xml:space="preserve"> m3) of the trade movements.</w:t>
      </w:r>
      <w:r w:rsidR="009C5BFF" w:rsidRPr="004D1094">
        <w:rPr>
          <w:lang w:val="en-GB"/>
        </w:rPr>
        <w:t xml:space="preserve"> </w:t>
      </w:r>
      <w:r w:rsidR="005B4132" w:rsidRPr="004D1094">
        <w:rPr>
          <w:lang w:val="en-GB"/>
        </w:rPr>
        <w:t>In fact the global natural gas pipeline trade recorded a decline by 6.2% in 2014, while LNG shipment trade increased by</w:t>
      </w:r>
      <w:r w:rsidR="006F5426" w:rsidRPr="004D1094">
        <w:rPr>
          <w:lang w:val="en-GB"/>
        </w:rPr>
        <w:t xml:space="preserve"> 2.4% during the same period </w:t>
      </w:r>
      <w:r w:rsidR="006F5426" w:rsidRPr="004D1094">
        <w:rPr>
          <w:lang w:val="en-GB"/>
        </w:rPr>
        <w:fldChar w:fldCharType="begin"/>
      </w:r>
      <w:r w:rsidR="006F5426" w:rsidRPr="004D1094">
        <w:rPr>
          <w:lang w:val="en-GB"/>
        </w:rPr>
        <w:instrText xml:space="preserve"> REF _Ref456773457 \r \h </w:instrText>
      </w:r>
      <w:r w:rsidR="006F5426" w:rsidRPr="004D1094">
        <w:rPr>
          <w:lang w:val="en-GB"/>
        </w:rPr>
      </w:r>
      <w:r w:rsidR="006F5426" w:rsidRPr="004D1094">
        <w:rPr>
          <w:lang w:val="en-GB"/>
        </w:rPr>
        <w:fldChar w:fldCharType="separate"/>
      </w:r>
      <w:r w:rsidR="00650C3B">
        <w:rPr>
          <w:lang w:val="en-GB"/>
        </w:rPr>
        <w:t>[1]</w:t>
      </w:r>
      <w:r w:rsidR="006F5426" w:rsidRPr="004D1094">
        <w:rPr>
          <w:lang w:val="en-GB"/>
        </w:rPr>
        <w:fldChar w:fldCharType="end"/>
      </w:r>
      <w:r w:rsidR="005B4132" w:rsidRPr="004D1094">
        <w:rPr>
          <w:lang w:val="en-GB"/>
        </w:rPr>
        <w:t>.</w:t>
      </w:r>
      <w:r w:rsidR="009C5BFF" w:rsidRPr="004D1094">
        <w:rPr>
          <w:lang w:val="en-GB"/>
        </w:rPr>
        <w:t xml:space="preserve"> </w:t>
      </w:r>
      <w:r w:rsidR="005B4132" w:rsidRPr="004D1094">
        <w:rPr>
          <w:lang w:val="en-GB"/>
        </w:rPr>
        <w:t xml:space="preserve">The transportation of LNG by ship is, in comparison to pipeline transportation of natural gas, nearly independent from political conditions and is expected to become as important as </w:t>
      </w:r>
      <w:r w:rsidR="005B4132" w:rsidRPr="004D1094">
        <w:rPr>
          <w:lang w:val="en-GB"/>
        </w:rPr>
        <w:lastRenderedPageBreak/>
        <w:t>pipeline transpor</w:t>
      </w:r>
      <w:r w:rsidR="00002D32" w:rsidRPr="004D1094">
        <w:rPr>
          <w:lang w:val="en-GB"/>
        </w:rPr>
        <w:t>t</w:t>
      </w:r>
      <w:r w:rsidR="005B4132" w:rsidRPr="004D1094">
        <w:rPr>
          <w:lang w:val="en-GB"/>
        </w:rPr>
        <w:t xml:space="preserve"> of natural gas. In this context the transport of natural gas by ships over long distances is technically and metrologically more challenging than for other fossil fuels.</w:t>
      </w:r>
    </w:p>
    <w:p w:rsidR="009C7EC0" w:rsidRPr="004D1094" w:rsidRDefault="009C7EC0" w:rsidP="009C7EC0">
      <w:pPr>
        <w:pStyle w:val="Brdtext"/>
        <w:rPr>
          <w:lang w:val="en-GB"/>
        </w:rPr>
      </w:pPr>
    </w:p>
    <w:p w:rsidR="001C005C" w:rsidRPr="004D1094" w:rsidRDefault="001C005C" w:rsidP="001C005C">
      <w:pPr>
        <w:pStyle w:val="Rubrik1"/>
        <w:rPr>
          <w:lang w:val="en-GB"/>
        </w:rPr>
      </w:pPr>
      <w:r w:rsidRPr="004D1094">
        <w:rPr>
          <w:lang w:val="en-GB"/>
        </w:rPr>
        <w:t xml:space="preserve">2. </w:t>
      </w:r>
      <w:r w:rsidR="003E25C4" w:rsidRPr="004D1094">
        <w:rPr>
          <w:lang w:val="en-GB"/>
        </w:rPr>
        <w:t>Energy measurement</w:t>
      </w:r>
      <w:r w:rsidR="00035924" w:rsidRPr="004D1094">
        <w:rPr>
          <w:lang w:val="en-GB"/>
        </w:rPr>
        <w:t xml:space="preserve"> (custody transfer)</w:t>
      </w:r>
    </w:p>
    <w:p w:rsidR="001C005C" w:rsidRPr="004D1094" w:rsidRDefault="001C005C" w:rsidP="001C005C">
      <w:pPr>
        <w:pStyle w:val="Brdtext"/>
        <w:rPr>
          <w:i/>
          <w:lang w:val="en-GB"/>
        </w:rPr>
      </w:pPr>
    </w:p>
    <w:p w:rsidR="001C005C" w:rsidRPr="00D72832" w:rsidRDefault="005B0EB6" w:rsidP="00DB37A7">
      <w:pPr>
        <w:jc w:val="both"/>
        <w:rPr>
          <w:sz w:val="20"/>
          <w:lang w:val="en-GB"/>
        </w:rPr>
      </w:pPr>
      <w:r w:rsidRPr="004D1094">
        <w:rPr>
          <w:sz w:val="20"/>
          <w:lang w:val="en-GB"/>
        </w:rPr>
        <w:t xml:space="preserve">The trade of Liquefied Natural Gas (LNG) is based on energy measurement. That means, when LNG is loaded or unloaded from a ship the energy content is the crucial </w:t>
      </w:r>
      <w:r w:rsidRPr="00D72832">
        <w:rPr>
          <w:sz w:val="20"/>
          <w:lang w:val="en-GB"/>
        </w:rPr>
        <w:t>quantity. In this context the energy content is commonly calculated from the volume, density and the gross calorific value</w:t>
      </w:r>
      <w:r w:rsidR="00F647E7" w:rsidRPr="00D72832">
        <w:rPr>
          <w:sz w:val="20"/>
          <w:lang w:val="en-GB"/>
        </w:rPr>
        <w:t>,</w:t>
      </w:r>
      <w:r w:rsidRPr="00D72832">
        <w:rPr>
          <w:sz w:val="20"/>
          <w:lang w:val="en-GB"/>
        </w:rPr>
        <w:t xml:space="preserve"> according to the GIIGNL handbook </w:t>
      </w:r>
      <w:r w:rsidR="006F5426" w:rsidRPr="00D72832">
        <w:rPr>
          <w:sz w:val="20"/>
          <w:lang w:val="en-GB"/>
        </w:rPr>
        <w:fldChar w:fldCharType="begin"/>
      </w:r>
      <w:r w:rsidR="006F5426" w:rsidRPr="00D72832">
        <w:rPr>
          <w:sz w:val="20"/>
          <w:lang w:val="en-GB"/>
        </w:rPr>
        <w:instrText xml:space="preserve"> REF _Ref456773568 \r \h </w:instrText>
      </w:r>
      <w:r w:rsidR="006F5426" w:rsidRPr="00D72832">
        <w:rPr>
          <w:sz w:val="20"/>
          <w:lang w:val="en-GB"/>
        </w:rPr>
      </w:r>
      <w:r w:rsidR="006F5426" w:rsidRPr="00D72832">
        <w:rPr>
          <w:sz w:val="20"/>
          <w:lang w:val="en-GB"/>
        </w:rPr>
        <w:fldChar w:fldCharType="separate"/>
      </w:r>
      <w:r w:rsidR="00650C3B" w:rsidRPr="00D72832">
        <w:rPr>
          <w:sz w:val="20"/>
          <w:lang w:val="en-GB"/>
        </w:rPr>
        <w:t>[3]</w:t>
      </w:r>
      <w:r w:rsidR="006F5426" w:rsidRPr="00D72832">
        <w:rPr>
          <w:sz w:val="20"/>
          <w:lang w:val="en-GB"/>
        </w:rPr>
        <w:fldChar w:fldCharType="end"/>
      </w:r>
      <w:r w:rsidRPr="00D72832">
        <w:rPr>
          <w:sz w:val="20"/>
          <w:lang w:val="en-GB"/>
        </w:rPr>
        <w:t>:</w:t>
      </w:r>
    </w:p>
    <w:p w:rsidR="005B0EB6" w:rsidRPr="00D72832" w:rsidRDefault="005B0EB6" w:rsidP="001C005C">
      <w:pPr>
        <w:rPr>
          <w:lang w:val="en-GB"/>
        </w:rPr>
      </w:pPr>
    </w:p>
    <w:p w:rsidR="001C005C" w:rsidRPr="00D72832" w:rsidRDefault="008F7140" w:rsidP="001C005C">
      <w:pPr>
        <w:pStyle w:val="Brdtext"/>
        <w:tabs>
          <w:tab w:val="center" w:pos="2268"/>
          <w:tab w:val="right" w:pos="4536"/>
        </w:tabs>
        <w:ind w:firstLine="720"/>
        <w:rPr>
          <w:lang w:val="en-GB"/>
        </w:rPr>
      </w:pPr>
      <m:oMath>
        <m:r>
          <w:rPr>
            <w:rFonts w:ascii="Cambria Math" w:hAnsi="Cambria Math"/>
            <w:lang w:val="en-GB"/>
          </w:rPr>
          <m:t>E=</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LNG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LNG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GCV</m:t>
            </m:r>
          </m:e>
          <m:sub>
            <m:r>
              <w:rPr>
                <w:rFonts w:ascii="Cambria Math" w:hAnsi="Cambria Math"/>
                <w:lang w:val="en-GB"/>
              </w:rPr>
              <m:t>LNG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gas,displaced</m:t>
            </m:r>
          </m:sub>
        </m:sSub>
      </m:oMath>
      <w:r w:rsidR="001C005C" w:rsidRPr="00D72832">
        <w:rPr>
          <w:lang w:val="en-GB"/>
        </w:rPr>
        <w:tab/>
        <w:t>(1)</w:t>
      </w:r>
    </w:p>
    <w:p w:rsidR="001C005C" w:rsidRPr="00D72832" w:rsidRDefault="001C005C" w:rsidP="001C005C">
      <w:pPr>
        <w:pStyle w:val="Rubrik1"/>
        <w:jc w:val="both"/>
        <w:rPr>
          <w:b w:val="0"/>
          <w:lang w:val="en-GB"/>
        </w:rPr>
      </w:pPr>
    </w:p>
    <w:p w:rsidR="00B74A51" w:rsidRPr="00D72832" w:rsidRDefault="00B74A51" w:rsidP="00B74A51">
      <w:pPr>
        <w:pStyle w:val="Rubrik1"/>
        <w:jc w:val="both"/>
        <w:rPr>
          <w:b w:val="0"/>
          <w:u w:val="single"/>
          <w:lang w:val="en-GB"/>
        </w:rPr>
      </w:pPr>
      <w:r w:rsidRPr="00D72832">
        <w:rPr>
          <w:b w:val="0"/>
          <w:u w:val="single"/>
          <w:lang w:val="en-GB"/>
        </w:rPr>
        <w:t xml:space="preserve">Where: </w:t>
      </w:r>
    </w:p>
    <w:p w:rsidR="00B74A51" w:rsidRPr="00D72832" w:rsidRDefault="00B74A51" w:rsidP="00B74A51">
      <w:pPr>
        <w:pStyle w:val="Rubrik1"/>
        <w:jc w:val="both"/>
        <w:rPr>
          <w:b w:val="0"/>
          <w:lang w:val="en-GB"/>
        </w:rPr>
      </w:pPr>
      <w:r w:rsidRPr="00D72832">
        <w:rPr>
          <w:b w:val="0"/>
          <w:lang w:val="en-GB"/>
        </w:rPr>
        <w:t>E</w:t>
      </w:r>
      <w:r w:rsidRPr="00D72832">
        <w:rPr>
          <w:b w:val="0"/>
          <w:lang w:val="en-GB"/>
        </w:rPr>
        <w:tab/>
      </w:r>
      <w:r w:rsidRPr="00D72832">
        <w:rPr>
          <w:b w:val="0"/>
          <w:lang w:val="en-GB"/>
        </w:rPr>
        <w:tab/>
        <w:t>Energy transferred (MMBTU)</w:t>
      </w:r>
    </w:p>
    <w:p w:rsidR="00B74A51" w:rsidRPr="00D72832" w:rsidRDefault="00B74A51" w:rsidP="00B74A51">
      <w:pPr>
        <w:pStyle w:val="Rubrik1"/>
        <w:jc w:val="both"/>
        <w:rPr>
          <w:b w:val="0"/>
          <w:lang w:val="en-GB"/>
        </w:rPr>
      </w:pPr>
      <w:r w:rsidRPr="00D72832">
        <w:rPr>
          <w:b w:val="0"/>
          <w:lang w:val="en-GB"/>
        </w:rPr>
        <w:t>V</w:t>
      </w:r>
      <w:r w:rsidRPr="00D72832">
        <w:rPr>
          <w:b w:val="0"/>
          <w:vertAlign w:val="subscript"/>
          <w:lang w:val="en-GB"/>
        </w:rPr>
        <w:t>LNG</w:t>
      </w:r>
      <w:r w:rsidRPr="00D72832">
        <w:rPr>
          <w:b w:val="0"/>
          <w:lang w:val="en-GB"/>
        </w:rPr>
        <w:tab/>
      </w:r>
      <w:r w:rsidRPr="00D72832">
        <w:rPr>
          <w:b w:val="0"/>
          <w:lang w:val="en-GB"/>
        </w:rPr>
        <w:tab/>
        <w:t>Volume of the LNG (m</w:t>
      </w:r>
      <w:r w:rsidRPr="00D72832">
        <w:rPr>
          <w:b w:val="0"/>
          <w:vertAlign w:val="superscript"/>
          <w:lang w:val="en-GB"/>
        </w:rPr>
        <w:t>3</w:t>
      </w:r>
      <w:r w:rsidRPr="00D72832">
        <w:rPr>
          <w:b w:val="0"/>
          <w:lang w:val="en-GB"/>
        </w:rPr>
        <w:t>)</w:t>
      </w:r>
    </w:p>
    <w:p w:rsidR="00B74A51" w:rsidRPr="00D72832" w:rsidRDefault="00B74A51" w:rsidP="00B74A51">
      <w:pPr>
        <w:pStyle w:val="Rubrik1"/>
        <w:jc w:val="both"/>
        <w:rPr>
          <w:b w:val="0"/>
          <w:lang w:val="en-GB"/>
        </w:rPr>
      </w:pPr>
      <w:r w:rsidRPr="00D72832">
        <w:rPr>
          <w:b w:val="0"/>
          <w:lang w:val="en-GB"/>
        </w:rPr>
        <w:t>D</w:t>
      </w:r>
      <w:r w:rsidRPr="00D72832">
        <w:rPr>
          <w:b w:val="0"/>
          <w:vertAlign w:val="subscript"/>
          <w:lang w:val="en-GB"/>
        </w:rPr>
        <w:t>LNG</w:t>
      </w:r>
      <w:r w:rsidRPr="00D72832">
        <w:rPr>
          <w:b w:val="0"/>
          <w:lang w:val="en-GB"/>
        </w:rPr>
        <w:tab/>
      </w:r>
      <w:r w:rsidRPr="00D72832">
        <w:rPr>
          <w:b w:val="0"/>
          <w:lang w:val="en-GB"/>
        </w:rPr>
        <w:tab/>
        <w:t>Density of the LNG (kg/m</w:t>
      </w:r>
      <w:r w:rsidRPr="00D72832">
        <w:rPr>
          <w:b w:val="0"/>
          <w:vertAlign w:val="superscript"/>
          <w:lang w:val="en-GB"/>
        </w:rPr>
        <w:t>3</w:t>
      </w:r>
      <w:r w:rsidRPr="00D72832">
        <w:rPr>
          <w:b w:val="0"/>
          <w:lang w:val="en-GB"/>
        </w:rPr>
        <w:t>)</w:t>
      </w:r>
    </w:p>
    <w:p w:rsidR="00B74A51" w:rsidRPr="00D72832" w:rsidRDefault="00B74A51" w:rsidP="00B74A51">
      <w:pPr>
        <w:pStyle w:val="Rubrik1"/>
        <w:jc w:val="both"/>
        <w:rPr>
          <w:b w:val="0"/>
          <w:lang w:val="en-GB"/>
        </w:rPr>
      </w:pPr>
      <w:r w:rsidRPr="00D72832">
        <w:rPr>
          <w:b w:val="0"/>
          <w:lang w:val="en-GB"/>
        </w:rPr>
        <w:t>GCV</w:t>
      </w:r>
      <w:r w:rsidRPr="00D72832">
        <w:rPr>
          <w:b w:val="0"/>
          <w:vertAlign w:val="subscript"/>
          <w:lang w:val="en-GB"/>
        </w:rPr>
        <w:t>LNG</w:t>
      </w:r>
      <w:r w:rsidRPr="00D72832">
        <w:rPr>
          <w:b w:val="0"/>
          <w:lang w:val="en-GB"/>
        </w:rPr>
        <w:tab/>
      </w:r>
      <w:r w:rsidRPr="00D72832">
        <w:rPr>
          <w:b w:val="0"/>
          <w:lang w:val="en-GB"/>
        </w:rPr>
        <w:tab/>
        <w:t>Gross calorific value (MMBTU/kg)</w:t>
      </w:r>
    </w:p>
    <w:p w:rsidR="00B74A51" w:rsidRPr="00D72832" w:rsidRDefault="00B74A51" w:rsidP="00B74A51">
      <w:pPr>
        <w:pStyle w:val="Rubrik1"/>
        <w:ind w:left="1440" w:hanging="1440"/>
        <w:jc w:val="both"/>
        <w:rPr>
          <w:b w:val="0"/>
          <w:lang w:val="en-GB"/>
        </w:rPr>
      </w:pPr>
      <w:proofErr w:type="spellStart"/>
      <w:r w:rsidRPr="00D72832">
        <w:rPr>
          <w:b w:val="0"/>
          <w:lang w:val="en-GB"/>
        </w:rPr>
        <w:t>E</w:t>
      </w:r>
      <w:r w:rsidRPr="00D72832">
        <w:rPr>
          <w:b w:val="0"/>
          <w:vertAlign w:val="subscript"/>
          <w:lang w:val="en-GB"/>
        </w:rPr>
        <w:t>gas</w:t>
      </w:r>
      <w:proofErr w:type="gramStart"/>
      <w:r w:rsidRPr="00D72832">
        <w:rPr>
          <w:b w:val="0"/>
          <w:vertAlign w:val="subscript"/>
          <w:lang w:val="en-GB"/>
        </w:rPr>
        <w:t>,displaced</w:t>
      </w:r>
      <w:proofErr w:type="spellEnd"/>
      <w:proofErr w:type="gramEnd"/>
      <w:r w:rsidRPr="00D72832">
        <w:rPr>
          <w:b w:val="0"/>
          <w:lang w:val="en-GB"/>
        </w:rPr>
        <w:tab/>
        <w:t>Energy of the gas displaced during transfer (MMBTU)</w:t>
      </w:r>
    </w:p>
    <w:p w:rsidR="00B74A51" w:rsidRPr="00D72832" w:rsidRDefault="00650C3B" w:rsidP="00BD62CA">
      <w:pPr>
        <w:pStyle w:val="Rubrik1"/>
        <w:jc w:val="both"/>
        <w:rPr>
          <w:lang w:val="en-GB"/>
        </w:rPr>
      </w:pPr>
      <w:r w:rsidRPr="00D72832">
        <w:rPr>
          <w:b w:val="0"/>
          <w:lang w:val="en-GB"/>
        </w:rPr>
        <w:br/>
      </w:r>
      <w:r w:rsidR="00B74A51" w:rsidRPr="00D72832">
        <w:rPr>
          <w:b w:val="0"/>
          <w:lang w:val="en-GB"/>
        </w:rPr>
        <w:t>As it can be seen</w:t>
      </w:r>
      <w:r w:rsidRPr="00D72832">
        <w:rPr>
          <w:b w:val="0"/>
          <w:lang w:val="en-GB"/>
        </w:rPr>
        <w:t xml:space="preserve"> in </w:t>
      </w:r>
      <w:r w:rsidRPr="00D72832">
        <w:rPr>
          <w:b w:val="0"/>
          <w:lang w:val="en-GB"/>
        </w:rPr>
        <w:fldChar w:fldCharType="begin"/>
      </w:r>
      <w:r w:rsidRPr="00D72832">
        <w:rPr>
          <w:b w:val="0"/>
          <w:lang w:val="en-GB"/>
        </w:rPr>
        <w:instrText xml:space="preserve"> REF _Ref456707195 \h </w:instrText>
      </w:r>
      <w:r w:rsidR="00BD62CA" w:rsidRPr="00D72832">
        <w:rPr>
          <w:b w:val="0"/>
          <w:lang w:val="en-GB"/>
        </w:rPr>
        <w:instrText xml:space="preserve"> \* MERGEFORMAT </w:instrText>
      </w:r>
      <w:r w:rsidRPr="00D72832">
        <w:rPr>
          <w:b w:val="0"/>
          <w:lang w:val="en-GB"/>
        </w:rPr>
      </w:r>
      <w:r w:rsidRPr="00D72832">
        <w:rPr>
          <w:b w:val="0"/>
          <w:lang w:val="en-GB"/>
        </w:rPr>
        <w:fldChar w:fldCharType="separate"/>
      </w:r>
      <w:r w:rsidRPr="00D72832">
        <w:rPr>
          <w:lang w:val="en-GB"/>
        </w:rPr>
        <w:t xml:space="preserve">Table </w:t>
      </w:r>
      <w:r w:rsidRPr="00D72832">
        <w:rPr>
          <w:noProof/>
          <w:lang w:val="en-GB"/>
        </w:rPr>
        <w:t>1</w:t>
      </w:r>
      <w:r w:rsidRPr="00D72832">
        <w:rPr>
          <w:b w:val="0"/>
          <w:lang w:val="en-GB"/>
        </w:rPr>
        <w:fldChar w:fldCharType="end"/>
      </w:r>
      <w:r w:rsidR="003E5FC5" w:rsidRPr="00D72832">
        <w:rPr>
          <w:b w:val="0"/>
          <w:lang w:val="en-GB"/>
        </w:rPr>
        <w:t>,</w:t>
      </w:r>
      <w:r w:rsidR="00B74A51" w:rsidRPr="00D72832">
        <w:rPr>
          <w:b w:val="0"/>
          <w:lang w:val="en-GB"/>
        </w:rPr>
        <w:t xml:space="preserve"> the overall measurement uncertainty</w:t>
      </w:r>
      <w:r w:rsidR="00EA5ADC" w:rsidRPr="00D72832">
        <w:rPr>
          <w:b w:val="0"/>
          <w:lang w:val="en-GB"/>
        </w:rPr>
        <w:t xml:space="preserve"> </w:t>
      </w:r>
      <w:r w:rsidR="00B74A51" w:rsidRPr="00D72832">
        <w:rPr>
          <w:b w:val="0"/>
          <w:lang w:val="en-GB"/>
        </w:rPr>
        <w:t>determining the LNG energy transferred has</w:t>
      </w:r>
      <w:r w:rsidR="0081694F">
        <w:rPr>
          <w:b w:val="0"/>
          <w:lang w:val="en-GB"/>
        </w:rPr>
        <w:t>,</w:t>
      </w:r>
      <w:r w:rsidR="00BD62CA" w:rsidRPr="00D72832">
        <w:rPr>
          <w:b w:val="0"/>
          <w:lang w:val="en-GB"/>
        </w:rPr>
        <w:t xml:space="preserve"> </w:t>
      </w:r>
      <w:r w:rsidR="00EE3ACB" w:rsidRPr="00D72832">
        <w:rPr>
          <w:b w:val="0"/>
          <w:lang w:val="en-GB"/>
        </w:rPr>
        <w:t xml:space="preserve">in </w:t>
      </w:r>
      <w:r w:rsidR="009F24B6">
        <w:rPr>
          <w:b w:val="0"/>
          <w:lang w:val="en-GB"/>
        </w:rPr>
        <w:t>a</w:t>
      </w:r>
      <w:r w:rsidR="00EE3ACB" w:rsidRPr="00D72832">
        <w:rPr>
          <w:b w:val="0"/>
          <w:lang w:val="en-GB"/>
        </w:rPr>
        <w:t xml:space="preserve"> best case</w:t>
      </w:r>
      <w:r w:rsidR="009F24B6">
        <w:rPr>
          <w:b w:val="0"/>
          <w:lang w:val="en-GB"/>
        </w:rPr>
        <w:t xml:space="preserve"> scenario</w:t>
      </w:r>
      <w:r w:rsidR="0081694F">
        <w:rPr>
          <w:b w:val="0"/>
          <w:lang w:val="en-GB"/>
        </w:rPr>
        <w:t>,</w:t>
      </w:r>
      <w:r w:rsidR="00EE3ACB" w:rsidRPr="00D72832">
        <w:rPr>
          <w:b w:val="0"/>
          <w:lang w:val="en-GB"/>
        </w:rPr>
        <w:t xml:space="preserve"> </w:t>
      </w:r>
      <w:r w:rsidR="00BD62CA" w:rsidRPr="00D72832">
        <w:rPr>
          <w:b w:val="0"/>
          <w:lang w:val="en-GB"/>
        </w:rPr>
        <w:t xml:space="preserve">an estimated relative uncertainty </w:t>
      </w:r>
      <w:r w:rsidR="00BD62CA" w:rsidRPr="00D72832">
        <w:rPr>
          <w:b w:val="0"/>
          <w:i/>
          <w:lang w:val="en-GB"/>
        </w:rPr>
        <w:t>U</w:t>
      </w:r>
      <w:r w:rsidR="00BD62CA" w:rsidRPr="00D72832">
        <w:rPr>
          <w:b w:val="0"/>
          <w:lang w:val="en-GB"/>
        </w:rPr>
        <w:t>(</w:t>
      </w:r>
      <w:r w:rsidR="00BD62CA" w:rsidRPr="00D72832">
        <w:rPr>
          <w:b w:val="0"/>
          <w:i/>
          <w:lang w:val="en-GB"/>
        </w:rPr>
        <w:t>E</w:t>
      </w:r>
      <w:r w:rsidR="00BD62CA" w:rsidRPr="00D72832">
        <w:rPr>
          <w:b w:val="0"/>
          <w:lang w:val="en-GB"/>
        </w:rPr>
        <w:t>)/</w:t>
      </w:r>
      <w:r w:rsidR="00BD62CA" w:rsidRPr="00D72832">
        <w:rPr>
          <w:b w:val="0"/>
          <w:i/>
          <w:lang w:val="en-GB"/>
        </w:rPr>
        <w:t>E</w:t>
      </w:r>
      <w:r w:rsidR="00BD62CA" w:rsidRPr="00D72832">
        <w:rPr>
          <w:b w:val="0"/>
          <w:lang w:val="en-GB"/>
        </w:rPr>
        <w:t xml:space="preserve"> of ±0.50% (</w:t>
      </w:r>
      <w:r w:rsidR="00BD62CA" w:rsidRPr="00D72832">
        <w:rPr>
          <w:b w:val="0"/>
          <w:i/>
          <w:lang w:val="en-GB"/>
        </w:rPr>
        <w:t>k</w:t>
      </w:r>
      <w:r w:rsidR="00BD62CA" w:rsidRPr="00D72832">
        <w:rPr>
          <w:b w:val="0"/>
          <w:lang w:val="en-GB"/>
        </w:rPr>
        <w:t xml:space="preserve">=2). </w:t>
      </w:r>
      <w:bookmarkStart w:id="1" w:name="_GoBack"/>
      <w:bookmarkEnd w:id="1"/>
    </w:p>
    <w:p w:rsidR="00604BA6" w:rsidRPr="00D72832" w:rsidRDefault="000331B9" w:rsidP="00604BA6">
      <w:pPr>
        <w:pStyle w:val="Beskrivning"/>
        <w:keepNext/>
        <w:rPr>
          <w:lang w:val="en-GB"/>
        </w:rPr>
      </w:pPr>
      <w:bookmarkStart w:id="2" w:name="_Ref456707195"/>
      <w:r w:rsidRPr="00D72832">
        <w:rPr>
          <w:lang w:val="en-GB"/>
        </w:rPr>
        <w:t>Tab</w:t>
      </w:r>
      <w:r w:rsidR="00604BA6" w:rsidRPr="00D72832">
        <w:rPr>
          <w:lang w:val="en-GB"/>
        </w:rPr>
        <w:t>l</w:t>
      </w:r>
      <w:r w:rsidRPr="00D72832">
        <w:rPr>
          <w:lang w:val="en-GB"/>
        </w:rPr>
        <w:t>e</w:t>
      </w:r>
      <w:r w:rsidR="00604BA6" w:rsidRPr="00D72832">
        <w:rPr>
          <w:lang w:val="en-GB"/>
        </w:rPr>
        <w:t xml:space="preserve"> </w:t>
      </w:r>
      <w:r w:rsidR="00604BA6" w:rsidRPr="00D72832">
        <w:rPr>
          <w:lang w:val="en-GB"/>
        </w:rPr>
        <w:fldChar w:fldCharType="begin"/>
      </w:r>
      <w:r w:rsidR="00604BA6" w:rsidRPr="00D72832">
        <w:rPr>
          <w:lang w:val="en-GB"/>
        </w:rPr>
        <w:instrText xml:space="preserve"> SEQ Tabell \* ARABIC </w:instrText>
      </w:r>
      <w:r w:rsidR="00604BA6" w:rsidRPr="00D72832">
        <w:rPr>
          <w:lang w:val="en-GB"/>
        </w:rPr>
        <w:fldChar w:fldCharType="separate"/>
      </w:r>
      <w:r w:rsidR="00650C3B" w:rsidRPr="00D72832">
        <w:rPr>
          <w:noProof/>
          <w:lang w:val="en-GB"/>
        </w:rPr>
        <w:t>1</w:t>
      </w:r>
      <w:r w:rsidR="00604BA6" w:rsidRPr="00D72832">
        <w:rPr>
          <w:lang w:val="en-GB"/>
        </w:rPr>
        <w:fldChar w:fldCharType="end"/>
      </w:r>
      <w:bookmarkEnd w:id="2"/>
      <w:r w:rsidR="00604BA6" w:rsidRPr="00D72832">
        <w:rPr>
          <w:lang w:val="en-GB"/>
        </w:rPr>
        <w:t xml:space="preserve"> – </w:t>
      </w:r>
      <w:r w:rsidR="00B74A51" w:rsidRPr="00D72832">
        <w:rPr>
          <w:lang w:val="en-GB"/>
        </w:rPr>
        <w:t>Estimated measurement uncertainties acc</w:t>
      </w:r>
      <w:r w:rsidR="00FC2A67" w:rsidRPr="00D72832">
        <w:rPr>
          <w:lang w:val="en-GB"/>
        </w:rPr>
        <w:t xml:space="preserve">ording to the GIIGNL handbook </w:t>
      </w:r>
      <w:r w:rsidR="00FC2A67" w:rsidRPr="00D72832">
        <w:rPr>
          <w:lang w:val="en-GB"/>
        </w:rPr>
        <w:fldChar w:fldCharType="begin"/>
      </w:r>
      <w:r w:rsidR="00FC2A67" w:rsidRPr="00D72832">
        <w:rPr>
          <w:lang w:val="en-GB"/>
        </w:rPr>
        <w:instrText xml:space="preserve"> REF _Ref456773568 \r \h </w:instrText>
      </w:r>
      <w:r w:rsidR="00FC2A67" w:rsidRPr="00D72832">
        <w:rPr>
          <w:lang w:val="en-GB"/>
        </w:rPr>
      </w:r>
      <w:r w:rsidR="00FC2A67" w:rsidRPr="00D72832">
        <w:rPr>
          <w:lang w:val="en-GB"/>
        </w:rPr>
        <w:fldChar w:fldCharType="separate"/>
      </w:r>
      <w:r w:rsidR="00650C3B" w:rsidRPr="00D72832">
        <w:rPr>
          <w:lang w:val="en-GB"/>
        </w:rPr>
        <w:t>[3]</w:t>
      </w:r>
      <w:r w:rsidR="00FC2A67" w:rsidRPr="00D72832">
        <w:rPr>
          <w:lang w:val="en-GB"/>
        </w:rPr>
        <w:fldChar w:fldCharType="end"/>
      </w:r>
      <w:r w:rsidR="00FC2A67" w:rsidRPr="00D72832">
        <w:rPr>
          <w:lang w:val="en-GB"/>
        </w:rPr>
        <w:t>.</w:t>
      </w:r>
      <w:r w:rsidR="00604BA6" w:rsidRPr="00D72832">
        <w:rPr>
          <w:lang w:val="en-GB"/>
        </w:rPr>
        <w:t xml:space="preserve"> </w:t>
      </w:r>
    </w:p>
    <w:tbl>
      <w:tblPr>
        <w:tblStyle w:val="Tabellrutnt"/>
        <w:tblW w:w="4536" w:type="dxa"/>
        <w:jc w:val="center"/>
        <w:tblLook w:val="04A0" w:firstRow="1" w:lastRow="0" w:firstColumn="1" w:lastColumn="0" w:noHBand="0" w:noVBand="1"/>
      </w:tblPr>
      <w:tblGrid>
        <w:gridCol w:w="2402"/>
        <w:gridCol w:w="2134"/>
      </w:tblGrid>
      <w:tr w:rsidR="00D72832" w:rsidRPr="00D72832" w:rsidTr="009B0469">
        <w:trPr>
          <w:jc w:val="center"/>
        </w:trPr>
        <w:tc>
          <w:tcPr>
            <w:tcW w:w="2402" w:type="dxa"/>
          </w:tcPr>
          <w:p w:rsidR="00604BA6" w:rsidRPr="00D72832" w:rsidRDefault="00604BA6" w:rsidP="00604BA6">
            <w:pPr>
              <w:jc w:val="center"/>
              <w:rPr>
                <w:rFonts w:ascii="Times New Roman" w:hAnsi="Times New Roman" w:cs="Times New Roman"/>
                <w:b/>
                <w:sz w:val="16"/>
                <w:szCs w:val="16"/>
                <w:lang w:val="en-GB"/>
              </w:rPr>
            </w:pPr>
            <w:r w:rsidRPr="00D72832">
              <w:rPr>
                <w:rFonts w:ascii="Times New Roman" w:hAnsi="Times New Roman" w:cs="Times New Roman"/>
                <w:b/>
                <w:sz w:val="16"/>
                <w:szCs w:val="16"/>
                <w:lang w:val="en-GB"/>
              </w:rPr>
              <w:t>Source of uncertainty</w:t>
            </w:r>
          </w:p>
        </w:tc>
        <w:tc>
          <w:tcPr>
            <w:tcW w:w="2134" w:type="dxa"/>
          </w:tcPr>
          <w:p w:rsidR="00604BA6" w:rsidRPr="00D72832" w:rsidRDefault="00604BA6" w:rsidP="00604BA6">
            <w:pPr>
              <w:jc w:val="center"/>
              <w:rPr>
                <w:rFonts w:ascii="Times New Roman" w:hAnsi="Times New Roman" w:cs="Times New Roman"/>
                <w:b/>
                <w:sz w:val="16"/>
                <w:szCs w:val="16"/>
                <w:lang w:val="en-GB"/>
              </w:rPr>
            </w:pPr>
            <w:r w:rsidRPr="00D72832">
              <w:rPr>
                <w:rFonts w:ascii="Times New Roman" w:hAnsi="Times New Roman" w:cs="Times New Roman"/>
                <w:b/>
                <w:sz w:val="16"/>
                <w:szCs w:val="16"/>
                <w:lang w:val="en-GB"/>
              </w:rPr>
              <w:t xml:space="preserve">Typical </w:t>
            </w:r>
            <w:r w:rsidR="003F125D" w:rsidRPr="00D72832">
              <w:rPr>
                <w:rFonts w:ascii="Times New Roman" w:hAnsi="Times New Roman" w:cs="Times New Roman"/>
                <w:b/>
                <w:sz w:val="16"/>
                <w:szCs w:val="16"/>
                <w:lang w:val="en-GB"/>
              </w:rPr>
              <w:t xml:space="preserve">uncertainty </w:t>
            </w:r>
            <w:r w:rsidRPr="00D72832">
              <w:rPr>
                <w:rFonts w:ascii="Times New Roman" w:hAnsi="Times New Roman" w:cs="Times New Roman"/>
                <w:b/>
                <w:sz w:val="16"/>
                <w:szCs w:val="16"/>
                <w:lang w:val="en-GB"/>
              </w:rPr>
              <w:t xml:space="preserve">values </w:t>
            </w:r>
            <w:r w:rsidR="00BD62CA" w:rsidRPr="00D72832">
              <w:rPr>
                <w:rFonts w:ascii="Times New Roman" w:hAnsi="Times New Roman" w:cs="Times New Roman"/>
                <w:b/>
                <w:i/>
                <w:sz w:val="16"/>
                <w:szCs w:val="16"/>
                <w:lang w:val="en-GB"/>
              </w:rPr>
              <w:t>U</w:t>
            </w:r>
            <w:r w:rsidR="00BD62CA" w:rsidRPr="00D72832">
              <w:rPr>
                <w:rFonts w:ascii="Times New Roman" w:hAnsi="Times New Roman" w:cs="Times New Roman"/>
                <w:b/>
                <w:sz w:val="16"/>
                <w:szCs w:val="16"/>
                <w:lang w:val="en-GB"/>
              </w:rPr>
              <w:t>(</w:t>
            </w:r>
            <w:r w:rsidR="00BD62CA" w:rsidRPr="00D72832">
              <w:rPr>
                <w:rFonts w:ascii="Times New Roman" w:hAnsi="Times New Roman" w:cs="Times New Roman"/>
                <w:b/>
                <w:i/>
                <w:sz w:val="16"/>
                <w:szCs w:val="16"/>
                <w:lang w:val="en-GB"/>
              </w:rPr>
              <w:t>E</w:t>
            </w:r>
            <w:r w:rsidR="00BD62CA" w:rsidRPr="00D72832">
              <w:rPr>
                <w:rFonts w:ascii="Times New Roman" w:hAnsi="Times New Roman" w:cs="Times New Roman"/>
                <w:b/>
                <w:sz w:val="16"/>
                <w:szCs w:val="16"/>
                <w:lang w:val="en-GB"/>
              </w:rPr>
              <w:t>)/</w:t>
            </w:r>
            <w:r w:rsidR="00BD62CA" w:rsidRPr="00D72832">
              <w:rPr>
                <w:rFonts w:ascii="Times New Roman" w:hAnsi="Times New Roman" w:cs="Times New Roman"/>
                <w:b/>
                <w:i/>
                <w:sz w:val="16"/>
                <w:szCs w:val="16"/>
                <w:lang w:val="en-GB"/>
              </w:rPr>
              <w:t>E</w:t>
            </w:r>
            <w:r w:rsidR="00BD62CA" w:rsidRPr="00D72832">
              <w:rPr>
                <w:rFonts w:ascii="Times New Roman" w:hAnsi="Times New Roman" w:cs="Times New Roman"/>
                <w:b/>
                <w:sz w:val="16"/>
                <w:szCs w:val="16"/>
                <w:lang w:val="en-GB"/>
              </w:rPr>
              <w:t xml:space="preserve"> (</w:t>
            </w:r>
            <w:r w:rsidR="00BD62CA" w:rsidRPr="00D72832">
              <w:rPr>
                <w:rFonts w:ascii="Times New Roman" w:hAnsi="Times New Roman" w:cs="Times New Roman"/>
                <w:b/>
                <w:i/>
                <w:sz w:val="16"/>
                <w:szCs w:val="16"/>
                <w:lang w:val="en-GB"/>
              </w:rPr>
              <w:t>k=2</w:t>
            </w:r>
            <w:r w:rsidR="00BD62CA" w:rsidRPr="00D72832">
              <w:rPr>
                <w:rFonts w:ascii="Times New Roman" w:hAnsi="Times New Roman" w:cs="Times New Roman"/>
                <w:b/>
                <w:sz w:val="16"/>
                <w:szCs w:val="16"/>
                <w:lang w:val="en-GB"/>
              </w:rPr>
              <w:t>)</w:t>
            </w:r>
          </w:p>
        </w:tc>
      </w:tr>
      <w:tr w:rsidR="00D72832" w:rsidRPr="00D72832" w:rsidTr="009B0469">
        <w:trPr>
          <w:jc w:val="center"/>
        </w:trPr>
        <w:tc>
          <w:tcPr>
            <w:tcW w:w="2402"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Volume</w:t>
            </w:r>
          </w:p>
        </w:tc>
        <w:tc>
          <w:tcPr>
            <w:tcW w:w="2134"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0.20 % – 0.54 %</w:t>
            </w:r>
          </w:p>
        </w:tc>
      </w:tr>
      <w:tr w:rsidR="00D72832" w:rsidRPr="00D72832" w:rsidTr="009B0469">
        <w:trPr>
          <w:jc w:val="center"/>
        </w:trPr>
        <w:tc>
          <w:tcPr>
            <w:tcW w:w="2402"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Density</w:t>
            </w:r>
          </w:p>
        </w:tc>
        <w:tc>
          <w:tcPr>
            <w:tcW w:w="2134"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0.46 %</w:t>
            </w:r>
          </w:p>
        </w:tc>
      </w:tr>
      <w:tr w:rsidR="00D72832" w:rsidRPr="00D72832" w:rsidTr="009B0469">
        <w:trPr>
          <w:jc w:val="center"/>
        </w:trPr>
        <w:tc>
          <w:tcPr>
            <w:tcW w:w="2402"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GCV</w:t>
            </w:r>
          </w:p>
        </w:tc>
        <w:tc>
          <w:tcPr>
            <w:tcW w:w="2134"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0.04 % – 0.07 %</w:t>
            </w:r>
          </w:p>
        </w:tc>
      </w:tr>
      <w:tr w:rsidR="00D72832" w:rsidRPr="00D72832" w:rsidTr="009B0469">
        <w:trPr>
          <w:jc w:val="center"/>
        </w:trPr>
        <w:tc>
          <w:tcPr>
            <w:tcW w:w="2402" w:type="dxa"/>
          </w:tcPr>
          <w:p w:rsidR="00B74A51" w:rsidRPr="00D72832" w:rsidRDefault="00B74A51" w:rsidP="0037577B">
            <w:pPr>
              <w:jc w:val="center"/>
              <w:rPr>
                <w:rFonts w:ascii="Times New Roman" w:hAnsi="Times New Roman" w:cs="Times New Roman"/>
                <w:sz w:val="16"/>
                <w:szCs w:val="16"/>
                <w:lang w:val="en-GB"/>
              </w:rPr>
            </w:pPr>
            <w:proofErr w:type="spellStart"/>
            <w:r w:rsidRPr="00D72832">
              <w:rPr>
                <w:rFonts w:ascii="Times New Roman" w:hAnsi="Times New Roman" w:cs="Times New Roman"/>
                <w:sz w:val="16"/>
                <w:szCs w:val="16"/>
                <w:lang w:val="en-GB"/>
              </w:rPr>
              <w:t>E</w:t>
            </w:r>
            <w:r w:rsidRPr="00D72832">
              <w:rPr>
                <w:rFonts w:ascii="Times New Roman" w:hAnsi="Times New Roman" w:cs="Times New Roman"/>
                <w:sz w:val="16"/>
                <w:szCs w:val="16"/>
                <w:vertAlign w:val="subscript"/>
                <w:lang w:val="en-GB"/>
              </w:rPr>
              <w:t>gas,displaced</w:t>
            </w:r>
            <w:proofErr w:type="spellEnd"/>
          </w:p>
        </w:tc>
        <w:tc>
          <w:tcPr>
            <w:tcW w:w="2134"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0.003 %</w:t>
            </w:r>
          </w:p>
        </w:tc>
      </w:tr>
      <w:tr w:rsidR="00D72832" w:rsidRPr="00D72832" w:rsidTr="009B0469">
        <w:trPr>
          <w:jc w:val="center"/>
        </w:trPr>
        <w:tc>
          <w:tcPr>
            <w:tcW w:w="2402" w:type="dxa"/>
          </w:tcPr>
          <w:p w:rsidR="00B74A51" w:rsidRPr="00D72832" w:rsidRDefault="00B74A51" w:rsidP="0037577B">
            <w:pPr>
              <w:jc w:val="center"/>
              <w:rPr>
                <w:sz w:val="16"/>
                <w:szCs w:val="16"/>
                <w:lang w:val="en-GB"/>
              </w:rPr>
            </w:pPr>
          </w:p>
        </w:tc>
        <w:tc>
          <w:tcPr>
            <w:tcW w:w="2134" w:type="dxa"/>
          </w:tcPr>
          <w:p w:rsidR="00B74A51" w:rsidRPr="00D72832" w:rsidRDefault="00B74A51" w:rsidP="0037577B">
            <w:pPr>
              <w:jc w:val="center"/>
              <w:rPr>
                <w:sz w:val="16"/>
                <w:szCs w:val="16"/>
                <w:lang w:val="en-GB"/>
              </w:rPr>
            </w:pPr>
          </w:p>
        </w:tc>
      </w:tr>
      <w:tr w:rsidR="00B74A51" w:rsidRPr="00D72832" w:rsidTr="009B0469">
        <w:trPr>
          <w:jc w:val="center"/>
        </w:trPr>
        <w:tc>
          <w:tcPr>
            <w:tcW w:w="2402"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Energy (total):</w:t>
            </w:r>
          </w:p>
        </w:tc>
        <w:tc>
          <w:tcPr>
            <w:tcW w:w="2134" w:type="dxa"/>
          </w:tcPr>
          <w:p w:rsidR="00B74A51" w:rsidRPr="00D72832" w:rsidRDefault="00B74A51" w:rsidP="0037577B">
            <w:pPr>
              <w:jc w:val="center"/>
              <w:rPr>
                <w:rFonts w:ascii="Times New Roman" w:hAnsi="Times New Roman" w:cs="Times New Roman"/>
                <w:sz w:val="16"/>
                <w:szCs w:val="16"/>
                <w:lang w:val="en-GB"/>
              </w:rPr>
            </w:pPr>
            <w:r w:rsidRPr="00D72832">
              <w:rPr>
                <w:rFonts w:ascii="Times New Roman" w:hAnsi="Times New Roman" w:cs="Times New Roman"/>
                <w:sz w:val="16"/>
                <w:szCs w:val="16"/>
                <w:lang w:val="en-GB"/>
              </w:rPr>
              <w:t>0.50 % – 0.74 %</w:t>
            </w:r>
          </w:p>
        </w:tc>
      </w:tr>
    </w:tbl>
    <w:p w:rsidR="001C005C" w:rsidRPr="00D72832" w:rsidRDefault="001C005C">
      <w:pPr>
        <w:pStyle w:val="Rubrik1"/>
        <w:rPr>
          <w:lang w:val="en-GB"/>
        </w:rPr>
      </w:pPr>
    </w:p>
    <w:p w:rsidR="001C005C" w:rsidRPr="004D1094" w:rsidRDefault="005F566C" w:rsidP="00DB37A7">
      <w:pPr>
        <w:jc w:val="both"/>
        <w:rPr>
          <w:sz w:val="20"/>
          <w:lang w:val="en-GB"/>
        </w:rPr>
      </w:pPr>
      <w:r w:rsidRPr="00D72832">
        <w:rPr>
          <w:sz w:val="20"/>
          <w:lang w:val="en-GB"/>
        </w:rPr>
        <w:t xml:space="preserve">The (static) volume uncertainty of </w:t>
      </w:r>
      <w:r w:rsidR="00E563A3" w:rsidRPr="00D72832">
        <w:rPr>
          <w:sz w:val="20"/>
          <w:lang w:val="en-GB"/>
        </w:rPr>
        <w:t>a</w:t>
      </w:r>
      <w:r w:rsidRPr="00D72832">
        <w:rPr>
          <w:sz w:val="20"/>
          <w:lang w:val="en-GB"/>
        </w:rPr>
        <w:t xml:space="preserve"> tank </w:t>
      </w:r>
      <w:r w:rsidR="00A64447" w:rsidRPr="00D72832">
        <w:rPr>
          <w:sz w:val="20"/>
          <w:lang w:val="en-GB"/>
        </w:rPr>
        <w:t>varies</w:t>
      </w:r>
      <w:r w:rsidRPr="00D72832">
        <w:rPr>
          <w:sz w:val="20"/>
          <w:lang w:val="en-GB"/>
        </w:rPr>
        <w:t xml:space="preserve"> typically in the range of 0.20 – 0.54% (</w:t>
      </w:r>
      <w:r w:rsidRPr="00D72832">
        <w:rPr>
          <w:i/>
          <w:sz w:val="20"/>
          <w:lang w:val="en-GB"/>
        </w:rPr>
        <w:t>k=2</w:t>
      </w:r>
      <w:r w:rsidRPr="00D72832">
        <w:rPr>
          <w:sz w:val="20"/>
          <w:lang w:val="en-GB"/>
        </w:rPr>
        <w:t>). There is almost a universal agreement that (dynamic) LNG flow metering could provide higher accuracy. In case LNG flow meters could be calibrated</w:t>
      </w:r>
      <w:r w:rsidR="00261F5D" w:rsidRPr="00D72832">
        <w:rPr>
          <w:sz w:val="20"/>
          <w:lang w:val="en-GB"/>
        </w:rPr>
        <w:t xml:space="preserve"> under operation conditions</w:t>
      </w:r>
      <w:r w:rsidRPr="00D72832">
        <w:rPr>
          <w:sz w:val="20"/>
          <w:lang w:val="en-GB"/>
        </w:rPr>
        <w:t xml:space="preserve">, measurement uncertainties in the range of 0.15 – 0.20% </w:t>
      </w:r>
      <w:r w:rsidR="00EF2E34" w:rsidRPr="00D72832">
        <w:rPr>
          <w:sz w:val="20"/>
          <w:lang w:val="en-GB"/>
        </w:rPr>
        <w:t>(</w:t>
      </w:r>
      <w:r w:rsidR="00EF2E34" w:rsidRPr="00D72832">
        <w:rPr>
          <w:i/>
          <w:sz w:val="20"/>
          <w:lang w:val="en-GB"/>
        </w:rPr>
        <w:t>k=2</w:t>
      </w:r>
      <w:r w:rsidR="00EF2E34" w:rsidRPr="00D72832">
        <w:rPr>
          <w:sz w:val="20"/>
          <w:lang w:val="en-GB"/>
        </w:rPr>
        <w:t xml:space="preserve">) </w:t>
      </w:r>
      <w:r w:rsidR="00DA3689" w:rsidRPr="00D72832">
        <w:rPr>
          <w:sz w:val="20"/>
          <w:lang w:val="en-GB"/>
        </w:rPr>
        <w:t>are</w:t>
      </w:r>
      <w:r w:rsidRPr="00D72832">
        <w:rPr>
          <w:sz w:val="20"/>
          <w:lang w:val="en-GB"/>
        </w:rPr>
        <w:t xml:space="preserve"> possible. Summarized that would mean a reduction of the measurement uncertainty from the current level</w:t>
      </w:r>
      <w:r w:rsidR="00710401" w:rsidRPr="00D72832">
        <w:rPr>
          <w:sz w:val="20"/>
          <w:lang w:val="en-GB"/>
        </w:rPr>
        <w:t xml:space="preserve"> by a factor two</w:t>
      </w:r>
      <w:r w:rsidRPr="00D72832">
        <w:rPr>
          <w:sz w:val="20"/>
          <w:lang w:val="en-GB"/>
        </w:rPr>
        <w:t xml:space="preserve">. </w:t>
      </w:r>
      <w:r w:rsidRPr="004D1094">
        <w:rPr>
          <w:sz w:val="20"/>
          <w:lang w:val="en-GB"/>
        </w:rPr>
        <w:t xml:space="preserve">A more accurate determination of gross calorific value and especially the density offers in general a great potential for a further reduction of the measurement uncertainty. The determination of the gross calorific value and the density is, however, complex and usually derived from the gas composition. LNG consists of a variety of components which together determine the energy content. </w:t>
      </w:r>
      <w:r w:rsidR="000E2DC8" w:rsidRPr="004D1094">
        <w:rPr>
          <w:sz w:val="20"/>
          <w:lang w:val="en-GB"/>
        </w:rPr>
        <w:t>The composition of LNG, and thus its energy content, can vary significantly depending on its origin and production method.</w:t>
      </w:r>
      <w:r w:rsidRPr="004D1094">
        <w:rPr>
          <w:b/>
          <w:sz w:val="20"/>
          <w:lang w:val="en-GB"/>
        </w:rPr>
        <w:t xml:space="preserve"> </w:t>
      </w:r>
      <w:r w:rsidR="005455F6" w:rsidRPr="004D1094">
        <w:rPr>
          <w:sz w:val="20"/>
          <w:lang w:val="en-GB"/>
        </w:rPr>
        <w:t>Sampling and vaporization are direct</w:t>
      </w:r>
      <w:r w:rsidR="00A34F90" w:rsidRPr="004D1094">
        <w:rPr>
          <w:sz w:val="20"/>
          <w:lang w:val="en-GB"/>
        </w:rPr>
        <w:t>ly</w:t>
      </w:r>
      <w:r w:rsidR="005455F6" w:rsidRPr="004D1094">
        <w:rPr>
          <w:sz w:val="20"/>
          <w:lang w:val="en-GB"/>
        </w:rPr>
        <w:t xml:space="preserve"> related to composition measurement and have therefore an impact on the measurement uncertainties of the gross calorific value and the density.</w:t>
      </w:r>
      <w:r w:rsidR="00E84F2B">
        <w:rPr>
          <w:sz w:val="20"/>
          <w:lang w:val="en-GB"/>
        </w:rPr>
        <w:t xml:space="preserve"> </w:t>
      </w:r>
      <w:r w:rsidR="005455F6" w:rsidRPr="004D1094">
        <w:rPr>
          <w:sz w:val="20"/>
          <w:lang w:val="en-GB"/>
        </w:rPr>
        <w:t>The measurement uncertainty determination for</w:t>
      </w:r>
      <w:r w:rsidR="00F20DDF">
        <w:rPr>
          <w:sz w:val="20"/>
          <w:lang w:val="en-GB"/>
        </w:rPr>
        <w:t xml:space="preserve"> LNG</w:t>
      </w:r>
      <w:r w:rsidR="005455F6" w:rsidRPr="004D1094">
        <w:rPr>
          <w:sz w:val="20"/>
          <w:lang w:val="en-GB"/>
        </w:rPr>
        <w:t xml:space="preserve"> sampling and vaporization is</w:t>
      </w:r>
      <w:r w:rsidR="00050F6B" w:rsidRPr="004D1094">
        <w:rPr>
          <w:sz w:val="20"/>
          <w:lang w:val="en-GB"/>
        </w:rPr>
        <w:t xml:space="preserve"> </w:t>
      </w:r>
      <w:r w:rsidR="005455F6" w:rsidRPr="004D1094">
        <w:rPr>
          <w:sz w:val="20"/>
          <w:lang w:val="en-GB"/>
        </w:rPr>
        <w:t xml:space="preserve">included in the calculation </w:t>
      </w:r>
      <w:r w:rsidR="005455F6" w:rsidRPr="004D1094">
        <w:rPr>
          <w:sz w:val="20"/>
          <w:lang w:val="en-GB"/>
        </w:rPr>
        <w:lastRenderedPageBreak/>
        <w:t xml:space="preserve">of the composition uncertainty and </w:t>
      </w:r>
      <w:r w:rsidR="0051178A" w:rsidRPr="004D1094">
        <w:rPr>
          <w:sz w:val="20"/>
          <w:lang w:val="en-GB"/>
        </w:rPr>
        <w:t xml:space="preserve">thus </w:t>
      </w:r>
      <w:r w:rsidR="005455F6" w:rsidRPr="004D1094">
        <w:rPr>
          <w:sz w:val="20"/>
          <w:lang w:val="en-GB"/>
        </w:rPr>
        <w:t>part of the project.</w:t>
      </w:r>
      <w:r w:rsidR="00E07468">
        <w:rPr>
          <w:sz w:val="20"/>
          <w:lang w:val="en-GB"/>
        </w:rPr>
        <w:t xml:space="preserve"> </w:t>
      </w:r>
      <w:r w:rsidRPr="004D1094">
        <w:rPr>
          <w:sz w:val="20"/>
          <w:lang w:val="en-GB"/>
        </w:rPr>
        <w:t xml:space="preserve">The </w:t>
      </w:r>
      <w:r w:rsidR="00EB17C9" w:rsidRPr="004D1094">
        <w:rPr>
          <w:sz w:val="20"/>
          <w:lang w:val="en-GB"/>
        </w:rPr>
        <w:t>uncertainty resulting</w:t>
      </w:r>
      <w:r w:rsidRPr="004D1094">
        <w:rPr>
          <w:sz w:val="20"/>
          <w:lang w:val="en-GB"/>
        </w:rPr>
        <w:t xml:space="preserve"> from the calculation of gas displaced in the energy transferred is about ±0.003% </w:t>
      </w:r>
      <w:r w:rsidR="00EB17C9" w:rsidRPr="004D1094">
        <w:rPr>
          <w:sz w:val="20"/>
          <w:lang w:val="en-GB"/>
        </w:rPr>
        <w:fldChar w:fldCharType="begin"/>
      </w:r>
      <w:r w:rsidR="00EB17C9" w:rsidRPr="004D1094">
        <w:rPr>
          <w:sz w:val="20"/>
          <w:lang w:val="en-GB"/>
        </w:rPr>
        <w:instrText xml:space="preserve"> REF _Ref456773568 \r \h </w:instrText>
      </w:r>
      <w:r w:rsidR="00EB17C9" w:rsidRPr="004D1094">
        <w:rPr>
          <w:sz w:val="20"/>
          <w:lang w:val="en-GB"/>
        </w:rPr>
      </w:r>
      <w:r w:rsidR="00EB17C9" w:rsidRPr="004D1094">
        <w:rPr>
          <w:sz w:val="20"/>
          <w:lang w:val="en-GB"/>
        </w:rPr>
        <w:fldChar w:fldCharType="separate"/>
      </w:r>
      <w:r w:rsidR="00650C3B">
        <w:rPr>
          <w:sz w:val="20"/>
          <w:lang w:val="en-GB"/>
        </w:rPr>
        <w:t>[3]</w:t>
      </w:r>
      <w:r w:rsidR="00EB17C9" w:rsidRPr="004D1094">
        <w:rPr>
          <w:sz w:val="20"/>
          <w:lang w:val="en-GB"/>
        </w:rPr>
        <w:fldChar w:fldCharType="end"/>
      </w:r>
      <w:r w:rsidR="00EB17C9" w:rsidRPr="004D1094">
        <w:rPr>
          <w:sz w:val="20"/>
          <w:lang w:val="en-GB"/>
        </w:rPr>
        <w:t xml:space="preserve"> </w:t>
      </w:r>
      <w:r w:rsidRPr="004D1094">
        <w:rPr>
          <w:sz w:val="20"/>
          <w:lang w:val="en-GB"/>
        </w:rPr>
        <w:t xml:space="preserve">and can be considered negligible. The </w:t>
      </w:r>
      <w:r w:rsidR="00EB17C9" w:rsidRPr="004D1094">
        <w:rPr>
          <w:sz w:val="20"/>
          <w:lang w:val="en-GB"/>
        </w:rPr>
        <w:t xml:space="preserve">resulting </w:t>
      </w:r>
      <w:r w:rsidRPr="004D1094">
        <w:rPr>
          <w:sz w:val="20"/>
          <w:lang w:val="en-GB"/>
        </w:rPr>
        <w:t xml:space="preserve">overall </w:t>
      </w:r>
      <w:r w:rsidR="00EB17C9" w:rsidRPr="004D1094">
        <w:rPr>
          <w:sz w:val="20"/>
          <w:lang w:val="en-GB"/>
        </w:rPr>
        <w:t xml:space="preserve">uncertainty of the </w:t>
      </w:r>
      <w:r w:rsidRPr="004D1094">
        <w:rPr>
          <w:sz w:val="20"/>
          <w:lang w:val="en-GB"/>
        </w:rPr>
        <w:t>LNG energy transferred, as combined relative uncertainty, can be significantly reduced by a reduction of the measurement uncertainties of the mai</w:t>
      </w:r>
      <w:r w:rsidR="008F64D4" w:rsidRPr="004D1094">
        <w:rPr>
          <w:sz w:val="20"/>
          <w:lang w:val="en-GB"/>
        </w:rPr>
        <w:t xml:space="preserve">n influence factors (see </w:t>
      </w:r>
      <w:r w:rsidR="008F64D4" w:rsidRPr="004D1094">
        <w:rPr>
          <w:b/>
          <w:sz w:val="20"/>
          <w:lang w:val="en-GB"/>
        </w:rPr>
        <w:fldChar w:fldCharType="begin"/>
      </w:r>
      <w:r w:rsidR="008F64D4" w:rsidRPr="004D1094">
        <w:rPr>
          <w:b/>
          <w:sz w:val="20"/>
          <w:lang w:val="en-GB"/>
        </w:rPr>
        <w:instrText xml:space="preserve"> REF _Ref456707195 \h  \* MERGEFORMAT </w:instrText>
      </w:r>
      <w:r w:rsidR="008F64D4" w:rsidRPr="004D1094">
        <w:rPr>
          <w:b/>
          <w:sz w:val="20"/>
          <w:lang w:val="en-GB"/>
        </w:rPr>
      </w:r>
      <w:r w:rsidR="008F64D4" w:rsidRPr="004D1094">
        <w:rPr>
          <w:b/>
          <w:sz w:val="20"/>
          <w:lang w:val="en-GB"/>
        </w:rPr>
        <w:fldChar w:fldCharType="separate"/>
      </w:r>
      <w:r w:rsidR="00650C3B" w:rsidRPr="00650C3B">
        <w:rPr>
          <w:b/>
          <w:sz w:val="20"/>
          <w:lang w:val="en-GB"/>
        </w:rPr>
        <w:t>Table 1</w:t>
      </w:r>
      <w:r w:rsidR="008F64D4" w:rsidRPr="004D1094">
        <w:rPr>
          <w:b/>
          <w:sz w:val="20"/>
          <w:lang w:val="en-GB"/>
        </w:rPr>
        <w:fldChar w:fldCharType="end"/>
      </w:r>
      <w:r w:rsidRPr="004D1094">
        <w:rPr>
          <w:sz w:val="20"/>
          <w:lang w:val="en-GB"/>
        </w:rPr>
        <w:t xml:space="preserve">). </w:t>
      </w:r>
      <w:r w:rsidR="00BB1342" w:rsidRPr="004D1094">
        <w:rPr>
          <w:sz w:val="20"/>
          <w:lang w:val="en-GB"/>
        </w:rPr>
        <w:t xml:space="preserve">For that reason the focus will mainly be on volume and density measurements since here is the greatest potential. Nonetheless, one </w:t>
      </w:r>
      <w:r w:rsidR="009F1EE0" w:rsidRPr="004D1094">
        <w:rPr>
          <w:sz w:val="20"/>
          <w:lang w:val="en-GB"/>
        </w:rPr>
        <w:t xml:space="preserve">main </w:t>
      </w:r>
      <w:r w:rsidR="00BB1342" w:rsidRPr="004D1094">
        <w:rPr>
          <w:sz w:val="20"/>
          <w:lang w:val="en-GB"/>
        </w:rPr>
        <w:t>objective of the project is to realize a reduction of all measurement uncertainties involved in the determination of the energy content</w:t>
      </w:r>
      <w:r w:rsidRPr="004D1094">
        <w:rPr>
          <w:sz w:val="20"/>
          <w:lang w:val="en-GB"/>
        </w:rPr>
        <w:t>.</w:t>
      </w:r>
    </w:p>
    <w:p w:rsidR="001C005C" w:rsidRPr="004D1094" w:rsidRDefault="001C005C" w:rsidP="00DB37A7">
      <w:pPr>
        <w:pStyle w:val="Rubrik1"/>
        <w:jc w:val="both"/>
        <w:rPr>
          <w:lang w:val="en-GB"/>
        </w:rPr>
      </w:pPr>
    </w:p>
    <w:p w:rsidR="00F62060" w:rsidRPr="004D1094" w:rsidRDefault="001C005C" w:rsidP="00235843">
      <w:pPr>
        <w:pStyle w:val="Rubrik1"/>
        <w:jc w:val="both"/>
        <w:rPr>
          <w:lang w:val="en-GB"/>
        </w:rPr>
      </w:pPr>
      <w:r w:rsidRPr="004D1094">
        <w:rPr>
          <w:lang w:val="en-GB"/>
        </w:rPr>
        <w:t>3</w:t>
      </w:r>
      <w:r w:rsidR="005F2C46" w:rsidRPr="004D1094">
        <w:rPr>
          <w:lang w:val="en-GB"/>
        </w:rPr>
        <w:t xml:space="preserve">. </w:t>
      </w:r>
      <w:r w:rsidR="00D82EAC" w:rsidRPr="004D1094">
        <w:rPr>
          <w:lang w:val="en-GB"/>
        </w:rPr>
        <w:t xml:space="preserve">LNG </w:t>
      </w:r>
      <w:r w:rsidR="003E25C4" w:rsidRPr="004D1094">
        <w:rPr>
          <w:lang w:val="en-GB"/>
        </w:rPr>
        <w:t xml:space="preserve">calibration </w:t>
      </w:r>
      <w:r w:rsidR="00D82EAC" w:rsidRPr="004D1094">
        <w:rPr>
          <w:lang w:val="en-GB"/>
        </w:rPr>
        <w:t>facility</w:t>
      </w:r>
    </w:p>
    <w:p w:rsidR="00235843" w:rsidRPr="004D1094" w:rsidRDefault="00235843" w:rsidP="00235843">
      <w:pPr>
        <w:rPr>
          <w:sz w:val="20"/>
          <w:lang w:val="en-GB"/>
        </w:rPr>
      </w:pPr>
    </w:p>
    <w:p w:rsidR="00A7312A" w:rsidRPr="004D1094" w:rsidRDefault="00D82EAC" w:rsidP="00DB37A7">
      <w:pPr>
        <w:pStyle w:val="Brdtext"/>
        <w:rPr>
          <w:lang w:val="en-GB"/>
        </w:rPr>
      </w:pPr>
      <w:r w:rsidRPr="004D1094">
        <w:rPr>
          <w:lang w:val="en-GB"/>
        </w:rPr>
        <w:t xml:space="preserve">Conventionally volumetric gauging is the state of the art measurement principle for the determination of the volume </w:t>
      </w:r>
      <w:r w:rsidR="00770DA2" w:rsidRPr="004D1094">
        <w:rPr>
          <w:lang w:val="en-GB"/>
        </w:rPr>
        <w:t>of</w:t>
      </w:r>
      <w:r w:rsidRPr="004D1094">
        <w:rPr>
          <w:lang w:val="en-GB"/>
        </w:rPr>
        <w:t xml:space="preserve"> LNG ship cargo transfer. This </w:t>
      </w:r>
      <w:r w:rsidR="009F1EE0" w:rsidRPr="004D1094">
        <w:rPr>
          <w:lang w:val="en-GB"/>
        </w:rPr>
        <w:t>(</w:t>
      </w:r>
      <w:r w:rsidRPr="004D1094">
        <w:rPr>
          <w:lang w:val="en-GB"/>
        </w:rPr>
        <w:t>static</w:t>
      </w:r>
      <w:r w:rsidR="009F1EE0" w:rsidRPr="004D1094">
        <w:rPr>
          <w:lang w:val="en-GB"/>
        </w:rPr>
        <w:t>)</w:t>
      </w:r>
      <w:r w:rsidRPr="004D1094">
        <w:rPr>
          <w:lang w:val="en-GB"/>
        </w:rPr>
        <w:t xml:space="preserve"> ship based method has several disadvantages. The level measurement</w:t>
      </w:r>
      <w:r w:rsidR="00770DA2" w:rsidRPr="004D1094">
        <w:rPr>
          <w:lang w:val="en-GB"/>
        </w:rPr>
        <w:t xml:space="preserve"> only</w:t>
      </w:r>
      <w:r w:rsidRPr="004D1094">
        <w:rPr>
          <w:lang w:val="en-GB"/>
        </w:rPr>
        <w:t xml:space="preserve"> takes place before and after the loading or unloading process. For a proper correction regarding operation conditions so-called tank gauge tables are</w:t>
      </w:r>
      <w:r w:rsidR="00DD7C10">
        <w:rPr>
          <w:lang w:val="en-GB"/>
        </w:rPr>
        <w:t xml:space="preserve"> used.  Tank gauge tables contain</w:t>
      </w:r>
      <w:r w:rsidRPr="004D1094">
        <w:rPr>
          <w:lang w:val="en-GB"/>
        </w:rPr>
        <w:t xml:space="preserve"> correction tables for list and trim (inclinometer), volume corrections for the tank inclusive tank deformation, process temperatures and other corrections. The alternative use of flow meters appears very attractive to industry and meanwhile flow meters are used even more as secondary standards at some LNG terminals. These flow meters are commercially available but thus far hardly used for custody transfer purposes due to lack of direct traceability to a LNG flow standard at this scale and the lack of an ISO standard. The need for such development is particularly high for small- and midscale distributions and the application of LNG as transport fuel where there is no alternative to flow metering.</w:t>
      </w:r>
      <w:r w:rsidR="009A0442" w:rsidRPr="004D1094">
        <w:rPr>
          <w:lang w:val="en-GB"/>
        </w:rPr>
        <w:t xml:space="preserve"> </w:t>
      </w:r>
    </w:p>
    <w:p w:rsidR="00A7312A" w:rsidRPr="004D1094" w:rsidRDefault="00A7312A" w:rsidP="00D82EAC">
      <w:pPr>
        <w:pStyle w:val="Brdtext"/>
        <w:rPr>
          <w:sz w:val="16"/>
          <w:szCs w:val="16"/>
          <w:lang w:val="en-GB"/>
        </w:rPr>
      </w:pPr>
    </w:p>
    <w:p w:rsidR="00A7312A" w:rsidRPr="004D1094" w:rsidRDefault="00A7312A" w:rsidP="00A7312A">
      <w:pPr>
        <w:pStyle w:val="Brdtext"/>
        <w:keepNext/>
        <w:rPr>
          <w:lang w:val="en-GB"/>
        </w:rPr>
      </w:pPr>
      <w:r w:rsidRPr="004D1094">
        <w:rPr>
          <w:noProof/>
          <w:lang w:val="sv-SE" w:eastAsia="sv-SE"/>
        </w:rPr>
        <w:drawing>
          <wp:inline distT="0" distB="0" distL="0" distR="0" wp14:anchorId="106BD016" wp14:editId="131A92B1">
            <wp:extent cx="2880000" cy="1899574"/>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80000" cy="1899574"/>
                    </a:xfrm>
                    <a:prstGeom prst="rect">
                      <a:avLst/>
                    </a:prstGeom>
                    <a:noFill/>
                  </pic:spPr>
                </pic:pic>
              </a:graphicData>
            </a:graphic>
          </wp:inline>
        </w:drawing>
      </w:r>
    </w:p>
    <w:p w:rsidR="00A7312A" w:rsidRPr="004D1094" w:rsidRDefault="00A7312A" w:rsidP="00A7312A">
      <w:pPr>
        <w:pStyle w:val="Beskrivning"/>
        <w:rPr>
          <w:lang w:val="en-GB"/>
        </w:rPr>
      </w:pPr>
      <w:bookmarkStart w:id="3" w:name="_Ref456707324"/>
      <w:r w:rsidRPr="004D1094">
        <w:rPr>
          <w:lang w:val="en-GB"/>
        </w:rPr>
        <w:t xml:space="preserve">Figure </w:t>
      </w:r>
      <w:r w:rsidRPr="004D1094">
        <w:rPr>
          <w:lang w:val="en-GB"/>
        </w:rPr>
        <w:fldChar w:fldCharType="begin"/>
      </w:r>
      <w:r w:rsidRPr="004D1094">
        <w:rPr>
          <w:lang w:val="en-GB"/>
        </w:rPr>
        <w:instrText xml:space="preserve"> SEQ Figur \* ARABIC </w:instrText>
      </w:r>
      <w:r w:rsidRPr="004D1094">
        <w:rPr>
          <w:lang w:val="en-GB"/>
        </w:rPr>
        <w:fldChar w:fldCharType="separate"/>
      </w:r>
      <w:r w:rsidR="00650C3B">
        <w:rPr>
          <w:noProof/>
          <w:lang w:val="en-GB"/>
        </w:rPr>
        <w:t>2</w:t>
      </w:r>
      <w:r w:rsidRPr="004D1094">
        <w:rPr>
          <w:lang w:val="en-GB"/>
        </w:rPr>
        <w:fldChar w:fldCharType="end"/>
      </w:r>
      <w:bookmarkEnd w:id="3"/>
      <w:r w:rsidRPr="004D1094">
        <w:rPr>
          <w:lang w:val="en-GB"/>
        </w:rPr>
        <w:t xml:space="preserve"> –</w:t>
      </w:r>
      <w:r w:rsidR="00A41CEB" w:rsidRPr="004D1094">
        <w:rPr>
          <w:lang w:val="en-GB"/>
        </w:rPr>
        <w:t xml:space="preserve"> Overview of the new mid-scale LNG flow facility (</w:t>
      </w:r>
      <w:r w:rsidR="00512664" w:rsidRPr="004D1094">
        <w:rPr>
          <w:lang w:val="en-GB"/>
        </w:rPr>
        <w:t xml:space="preserve">the building on the bottom right is the low-scale primary standard, the larger building in the middle contains the meter run package as well as the reference meters and working standards, the building on the </w:t>
      </w:r>
      <w:r w:rsidR="00FC02C7" w:rsidRPr="004D1094">
        <w:rPr>
          <w:lang w:val="en-GB"/>
        </w:rPr>
        <w:t>left</w:t>
      </w:r>
      <w:r w:rsidR="00512664" w:rsidRPr="004D1094">
        <w:rPr>
          <w:lang w:val="en-GB"/>
        </w:rPr>
        <w:t xml:space="preserve"> is the control room</w:t>
      </w:r>
      <w:r w:rsidR="00A41CEB" w:rsidRPr="004D1094">
        <w:rPr>
          <w:lang w:val="en-GB"/>
        </w:rPr>
        <w:t>)</w:t>
      </w:r>
      <w:r w:rsidR="00D20435" w:rsidRPr="004D1094">
        <w:rPr>
          <w:lang w:val="en-GB"/>
        </w:rPr>
        <w:t>.</w:t>
      </w:r>
    </w:p>
    <w:p w:rsidR="00D82EAC" w:rsidRPr="00D72832" w:rsidRDefault="00D82EAC" w:rsidP="00D82EAC">
      <w:pPr>
        <w:pStyle w:val="Brdtext"/>
        <w:rPr>
          <w:lang w:val="en-GB"/>
        </w:rPr>
      </w:pPr>
      <w:r w:rsidRPr="004D1094">
        <w:rPr>
          <w:lang w:val="en-GB"/>
        </w:rPr>
        <w:t xml:space="preserve">For this reason the development of novel and traceable calibration standards for in-line LNG mass and volume flow is an important part to support the use of flow metering technology throughout the LNG production and distribution chain. </w:t>
      </w:r>
      <w:r w:rsidR="00D63451" w:rsidRPr="004D1094">
        <w:rPr>
          <w:lang w:val="en-GB"/>
        </w:rPr>
        <w:t xml:space="preserve">An essential component </w:t>
      </w:r>
      <w:r w:rsidRPr="004D1094">
        <w:rPr>
          <w:lang w:val="en-GB"/>
        </w:rPr>
        <w:t>of the new mid-scale primary LNG flow calibration standard</w:t>
      </w:r>
      <w:r w:rsidR="00263B6D" w:rsidRPr="004D1094">
        <w:rPr>
          <w:lang w:val="en-GB"/>
        </w:rPr>
        <w:t xml:space="preserve"> (see </w:t>
      </w:r>
      <w:r w:rsidR="00263B6D" w:rsidRPr="004D1094">
        <w:rPr>
          <w:b/>
          <w:lang w:val="en-GB"/>
        </w:rPr>
        <w:fldChar w:fldCharType="begin"/>
      </w:r>
      <w:r w:rsidR="00263B6D" w:rsidRPr="004D1094">
        <w:rPr>
          <w:b/>
          <w:lang w:val="en-GB"/>
        </w:rPr>
        <w:instrText xml:space="preserve"> REF _Ref456707324 \h  \* MERGEFORMAT </w:instrText>
      </w:r>
      <w:r w:rsidR="00263B6D" w:rsidRPr="004D1094">
        <w:rPr>
          <w:b/>
          <w:lang w:val="en-GB"/>
        </w:rPr>
      </w:r>
      <w:r w:rsidR="00263B6D" w:rsidRPr="004D1094">
        <w:rPr>
          <w:b/>
          <w:lang w:val="en-GB"/>
        </w:rPr>
        <w:fldChar w:fldCharType="separate"/>
      </w:r>
      <w:r w:rsidR="00650C3B" w:rsidRPr="00650C3B">
        <w:rPr>
          <w:b/>
          <w:lang w:val="en-GB"/>
        </w:rPr>
        <w:t xml:space="preserve">Figure </w:t>
      </w:r>
      <w:r w:rsidR="00650C3B" w:rsidRPr="00650C3B">
        <w:rPr>
          <w:b/>
          <w:noProof/>
          <w:lang w:val="en-GB"/>
        </w:rPr>
        <w:t>2</w:t>
      </w:r>
      <w:r w:rsidR="00263B6D" w:rsidRPr="004D1094">
        <w:rPr>
          <w:b/>
          <w:lang w:val="en-GB"/>
        </w:rPr>
        <w:fldChar w:fldCharType="end"/>
      </w:r>
      <w:r w:rsidR="00263B6D" w:rsidRPr="004D1094">
        <w:rPr>
          <w:lang w:val="en-GB"/>
        </w:rPr>
        <w:t>)</w:t>
      </w:r>
      <w:r w:rsidRPr="004D1094">
        <w:rPr>
          <w:lang w:val="en-GB"/>
        </w:rPr>
        <w:t xml:space="preserve"> is the low-scale LNG flow calibration </w:t>
      </w:r>
      <w:r w:rsidRPr="00D72832">
        <w:rPr>
          <w:lang w:val="en-GB"/>
        </w:rPr>
        <w:lastRenderedPageBreak/>
        <w:t>standard for flow rates</w:t>
      </w:r>
      <w:r w:rsidR="008B62E2" w:rsidRPr="00D72832">
        <w:rPr>
          <w:lang w:val="en-GB"/>
        </w:rPr>
        <w:t xml:space="preserve"> </w:t>
      </w:r>
      <w:r w:rsidRPr="00D72832">
        <w:rPr>
          <w:lang w:val="en-GB"/>
        </w:rPr>
        <w:t>up to 25 m3/h (</w:t>
      </w:r>
      <w:r w:rsidR="005A2DCF" w:rsidRPr="00D72832">
        <w:rPr>
          <w:lang w:val="en-GB"/>
        </w:rPr>
        <w:t>11250</w:t>
      </w:r>
      <w:r w:rsidRPr="00D72832">
        <w:rPr>
          <w:lang w:val="en-GB"/>
        </w:rPr>
        <w:t xml:space="preserve"> kg/h) and measurement uncertainties</w:t>
      </w:r>
      <w:r w:rsidR="00F57A4B" w:rsidRPr="00D72832">
        <w:rPr>
          <w:lang w:val="en-GB"/>
        </w:rPr>
        <w:t xml:space="preserve"> (</w:t>
      </w:r>
      <w:r w:rsidR="00F57A4B" w:rsidRPr="00D72832">
        <w:rPr>
          <w:i/>
          <w:lang w:val="en-GB"/>
        </w:rPr>
        <w:t>k=2</w:t>
      </w:r>
      <w:r w:rsidR="00F57A4B" w:rsidRPr="00D72832">
        <w:rPr>
          <w:lang w:val="en-GB"/>
        </w:rPr>
        <w:t>)</w:t>
      </w:r>
      <w:r w:rsidRPr="00D72832">
        <w:rPr>
          <w:lang w:val="en-GB"/>
        </w:rPr>
        <w:t xml:space="preserve"> of 0.10 – 0.13%, developed and validated within </w:t>
      </w:r>
      <w:r w:rsidR="009C03D4" w:rsidRPr="00D72832">
        <w:rPr>
          <w:lang w:val="en-GB"/>
        </w:rPr>
        <w:t>the previous EM</w:t>
      </w:r>
      <w:r w:rsidR="00A7312A" w:rsidRPr="00D72832">
        <w:rPr>
          <w:lang w:val="en-GB"/>
        </w:rPr>
        <w:t>R</w:t>
      </w:r>
      <w:r w:rsidR="009C03D4" w:rsidRPr="00D72832">
        <w:rPr>
          <w:lang w:val="en-GB"/>
        </w:rPr>
        <w:t>P</w:t>
      </w:r>
      <w:r w:rsidR="00A7312A" w:rsidRPr="00D72832">
        <w:rPr>
          <w:lang w:val="en-GB"/>
        </w:rPr>
        <w:t xml:space="preserve"> joint research project (JRP)</w:t>
      </w:r>
      <w:r w:rsidRPr="00D72832">
        <w:rPr>
          <w:lang w:val="en-GB"/>
        </w:rPr>
        <w:t xml:space="preserve"> </w:t>
      </w:r>
      <w:r w:rsidR="007B41D7" w:rsidRPr="00D72832">
        <w:rPr>
          <w:lang w:val="en-GB"/>
        </w:rPr>
        <w:t xml:space="preserve">ENG03, </w:t>
      </w:r>
      <w:r w:rsidRPr="00D72832">
        <w:rPr>
          <w:lang w:val="en-GB"/>
        </w:rPr>
        <w:t xml:space="preserve">in the period from </w:t>
      </w:r>
      <w:r w:rsidR="008F35D9" w:rsidRPr="00D72832">
        <w:rPr>
          <w:lang w:val="en-GB"/>
        </w:rPr>
        <w:br/>
      </w:r>
      <w:r w:rsidR="00A7312A" w:rsidRPr="00D72832">
        <w:rPr>
          <w:lang w:val="en-GB"/>
        </w:rPr>
        <w:t xml:space="preserve">2009 – 2013. </w:t>
      </w:r>
      <w:r w:rsidRPr="00D72832">
        <w:rPr>
          <w:lang w:val="en-GB"/>
        </w:rPr>
        <w:t>The new mid-scale primary standard will build the next step towards full traceability of large scale flow metering. This concerns the design, construction and validation of a mid-scale mass and volume flow calibration standard operating for flow rates</w:t>
      </w:r>
      <w:r w:rsidR="008F35D9" w:rsidRPr="00D72832">
        <w:rPr>
          <w:lang w:val="en-GB"/>
        </w:rPr>
        <w:t xml:space="preserve"> up to </w:t>
      </w:r>
      <w:r w:rsidRPr="00D72832">
        <w:rPr>
          <w:lang w:val="en-GB"/>
        </w:rPr>
        <w:t>400 m</w:t>
      </w:r>
      <w:r w:rsidRPr="00D72832">
        <w:rPr>
          <w:vertAlign w:val="superscript"/>
          <w:lang w:val="en-GB"/>
        </w:rPr>
        <w:t>3</w:t>
      </w:r>
      <w:r w:rsidRPr="00D72832">
        <w:rPr>
          <w:lang w:val="en-GB"/>
        </w:rPr>
        <w:t>/h (180000 kg/h) and a target measurement uncertainty of 0.15% on mass and 0.20% on volume. A</w:t>
      </w:r>
      <w:r w:rsidR="00CC7777" w:rsidRPr="00D72832">
        <w:rPr>
          <w:lang w:val="en-GB"/>
        </w:rPr>
        <w:t xml:space="preserve"> (mass) </w:t>
      </w:r>
      <w:r w:rsidRPr="00D72832">
        <w:rPr>
          <w:lang w:val="en-GB"/>
        </w:rPr>
        <w:t>flow meter operating with a measurement uncertainty</w:t>
      </w:r>
      <w:r w:rsidR="008E5C0C" w:rsidRPr="00D72832">
        <w:rPr>
          <w:lang w:val="en-GB"/>
        </w:rPr>
        <w:t xml:space="preserve"> (</w:t>
      </w:r>
      <w:r w:rsidR="008E5C0C" w:rsidRPr="00D72832">
        <w:rPr>
          <w:i/>
          <w:lang w:val="en-GB"/>
        </w:rPr>
        <w:t>k=2</w:t>
      </w:r>
      <w:r w:rsidR="008E5C0C" w:rsidRPr="00D72832">
        <w:rPr>
          <w:lang w:val="en-GB"/>
        </w:rPr>
        <w:t>)</w:t>
      </w:r>
      <w:r w:rsidRPr="00D72832">
        <w:rPr>
          <w:lang w:val="en-GB"/>
        </w:rPr>
        <w:t xml:space="preserve"> of e.g. 0.3</w:t>
      </w:r>
      <w:r w:rsidR="00CE2281" w:rsidRPr="00D72832">
        <w:rPr>
          <w:lang w:val="en-GB"/>
        </w:rPr>
        <w:t>0</w:t>
      </w:r>
      <w:r w:rsidRPr="00D72832">
        <w:rPr>
          <w:lang w:val="en-GB"/>
        </w:rPr>
        <w:t>%</w:t>
      </w:r>
      <w:r w:rsidR="001C741A" w:rsidRPr="00D72832">
        <w:rPr>
          <w:lang w:val="en-GB"/>
        </w:rPr>
        <w:t xml:space="preserve"> (incl</w:t>
      </w:r>
      <w:r w:rsidR="00CC7777" w:rsidRPr="00D72832">
        <w:rPr>
          <w:lang w:val="en-GB"/>
        </w:rPr>
        <w:t>.</w:t>
      </w:r>
      <w:r w:rsidR="001C741A" w:rsidRPr="00D72832">
        <w:rPr>
          <w:lang w:val="en-GB"/>
        </w:rPr>
        <w:t xml:space="preserve"> potential installation effects)</w:t>
      </w:r>
      <w:r w:rsidRPr="00D72832">
        <w:rPr>
          <w:lang w:val="en-GB"/>
        </w:rPr>
        <w:t xml:space="preserve"> will be a clear improvement compared to volume determined with tank gauging </w:t>
      </w:r>
      <w:r w:rsidR="00CE2281" w:rsidRPr="00D72832">
        <w:rPr>
          <w:lang w:val="en-GB"/>
        </w:rPr>
        <w:t>and</w:t>
      </w:r>
      <w:r w:rsidRPr="00D72832">
        <w:rPr>
          <w:lang w:val="en-GB"/>
        </w:rPr>
        <w:t xml:space="preserve"> conversion to mass through density, with an estimated combined</w:t>
      </w:r>
      <w:r w:rsidR="00495BBE" w:rsidRPr="00D72832">
        <w:rPr>
          <w:lang w:val="en-GB"/>
        </w:rPr>
        <w:t xml:space="preserve"> measurement</w:t>
      </w:r>
      <w:r w:rsidRPr="00D72832">
        <w:rPr>
          <w:lang w:val="en-GB"/>
        </w:rPr>
        <w:t xml:space="preserve"> un</w:t>
      </w:r>
      <w:r w:rsidR="00961C06" w:rsidRPr="00D72832">
        <w:rPr>
          <w:lang w:val="en-GB"/>
        </w:rPr>
        <w:t>certainty</w:t>
      </w:r>
      <w:r w:rsidR="008E5C0C" w:rsidRPr="00D72832">
        <w:rPr>
          <w:lang w:val="en-GB"/>
        </w:rPr>
        <w:t xml:space="preserve"> </w:t>
      </w:r>
      <w:r w:rsidR="00495BBE" w:rsidRPr="00D72832">
        <w:rPr>
          <w:lang w:val="en-GB"/>
        </w:rPr>
        <w:t>of</w:t>
      </w:r>
      <w:r w:rsidR="00961C06" w:rsidRPr="00D72832">
        <w:rPr>
          <w:lang w:val="en-GB"/>
        </w:rPr>
        <w:t xml:space="preserve"> around</w:t>
      </w:r>
      <w:r w:rsidR="00A74974" w:rsidRPr="00D72832">
        <w:rPr>
          <w:lang w:val="en-GB"/>
        </w:rPr>
        <w:t xml:space="preserve"> 0.5</w:t>
      </w:r>
      <w:r w:rsidR="00CE2281" w:rsidRPr="00D72832">
        <w:rPr>
          <w:lang w:val="en-GB"/>
        </w:rPr>
        <w:t>0</w:t>
      </w:r>
      <w:r w:rsidR="00961C06" w:rsidRPr="00D72832">
        <w:rPr>
          <w:lang w:val="en-GB"/>
        </w:rPr>
        <w:t xml:space="preserve"> –</w:t>
      </w:r>
      <w:r w:rsidRPr="00D72832">
        <w:rPr>
          <w:lang w:val="en-GB"/>
        </w:rPr>
        <w:t xml:space="preserve"> 0.7</w:t>
      </w:r>
      <w:r w:rsidR="00CE2281" w:rsidRPr="00D72832">
        <w:rPr>
          <w:lang w:val="en-GB"/>
        </w:rPr>
        <w:t>0</w:t>
      </w:r>
      <w:r w:rsidRPr="00D72832">
        <w:rPr>
          <w:lang w:val="en-GB"/>
        </w:rPr>
        <w:t>%</w:t>
      </w:r>
      <w:r w:rsidR="00C27F5B" w:rsidRPr="00D72832">
        <w:rPr>
          <w:lang w:val="en-GB"/>
        </w:rPr>
        <w:t xml:space="preserve"> (</w:t>
      </w:r>
      <w:r w:rsidR="00C27F5B" w:rsidRPr="00D72832">
        <w:rPr>
          <w:i/>
          <w:lang w:val="en-GB"/>
        </w:rPr>
        <w:t>k=2</w:t>
      </w:r>
      <w:r w:rsidR="00C27F5B" w:rsidRPr="00D72832">
        <w:rPr>
          <w:lang w:val="en-GB"/>
        </w:rPr>
        <w:t>)</w:t>
      </w:r>
      <w:r w:rsidRPr="00D72832">
        <w:rPr>
          <w:lang w:val="en-GB"/>
        </w:rPr>
        <w:t xml:space="preserve">. </w:t>
      </w:r>
      <w:r w:rsidR="00C14B88" w:rsidRPr="00D72832">
        <w:rPr>
          <w:lang w:val="en-GB"/>
        </w:rPr>
        <w:t>With the Coriolis</w:t>
      </w:r>
      <w:r w:rsidR="00821CD4" w:rsidRPr="00D72832">
        <w:rPr>
          <w:lang w:val="en-GB"/>
        </w:rPr>
        <w:t xml:space="preserve"> mass</w:t>
      </w:r>
      <w:r w:rsidR="00C14B88" w:rsidRPr="00D72832">
        <w:rPr>
          <w:lang w:val="en-GB"/>
        </w:rPr>
        <w:t xml:space="preserve"> flow meter (CFM) and the Ultrasonic flow meter (UFM) </w:t>
      </w:r>
      <w:r w:rsidR="00CE2281" w:rsidRPr="00D72832">
        <w:rPr>
          <w:lang w:val="en-GB"/>
        </w:rPr>
        <w:t xml:space="preserve">two types of flow meter </w:t>
      </w:r>
      <w:r w:rsidR="00821CD4" w:rsidRPr="00D72832">
        <w:rPr>
          <w:lang w:val="en-GB"/>
        </w:rPr>
        <w:t>with great potential for</w:t>
      </w:r>
      <w:r w:rsidR="00A551DA" w:rsidRPr="00D72832">
        <w:rPr>
          <w:lang w:val="en-GB"/>
        </w:rPr>
        <w:t xml:space="preserve"> the</w:t>
      </w:r>
      <w:r w:rsidR="00821CD4" w:rsidRPr="00D72832">
        <w:rPr>
          <w:lang w:val="en-GB"/>
        </w:rPr>
        <w:t xml:space="preserve"> use in custody transfer </w:t>
      </w:r>
      <w:r w:rsidR="00CE2281" w:rsidRPr="00D72832">
        <w:rPr>
          <w:lang w:val="en-GB"/>
        </w:rPr>
        <w:t>will be investigated.</w:t>
      </w:r>
      <w:r w:rsidR="00E508B6" w:rsidRPr="00D72832">
        <w:rPr>
          <w:lang w:val="en-GB"/>
        </w:rPr>
        <w:t xml:space="preserve"> Both types of flow meters have their advantages</w:t>
      </w:r>
      <w:r w:rsidR="00823332" w:rsidRPr="00D72832">
        <w:rPr>
          <w:lang w:val="en-GB"/>
        </w:rPr>
        <w:t xml:space="preserve"> and disadvantages.</w:t>
      </w:r>
      <w:r w:rsidR="00E508B6" w:rsidRPr="00D72832">
        <w:rPr>
          <w:lang w:val="en-GB"/>
        </w:rPr>
        <w:t xml:space="preserve"> </w:t>
      </w:r>
      <w:r w:rsidR="00C757F1" w:rsidRPr="00D72832">
        <w:rPr>
          <w:lang w:val="en-GB"/>
        </w:rPr>
        <w:t>CMFs measure directly mass flow and do not require a density calculation. This is especially useful since the gross calorific value is expressed per unit mass. However, CMFs have size and pressure drop limitations</w:t>
      </w:r>
      <w:r w:rsidR="00DF2606" w:rsidRPr="00D72832">
        <w:rPr>
          <w:lang w:val="en-GB"/>
        </w:rPr>
        <w:t xml:space="preserve">. </w:t>
      </w:r>
      <w:r w:rsidR="003A29FB" w:rsidRPr="00D72832">
        <w:rPr>
          <w:lang w:val="en-GB"/>
        </w:rPr>
        <w:t>U</w:t>
      </w:r>
      <w:r w:rsidR="00823332" w:rsidRPr="00D72832">
        <w:rPr>
          <w:lang w:val="en-GB"/>
        </w:rPr>
        <w:t>FMs</w:t>
      </w:r>
      <w:r w:rsidR="003A29FB" w:rsidRPr="00D72832">
        <w:rPr>
          <w:lang w:val="en-GB"/>
        </w:rPr>
        <w:t xml:space="preserve"> </w:t>
      </w:r>
      <w:r w:rsidR="00D47625" w:rsidRPr="00D72832">
        <w:rPr>
          <w:lang w:val="en-GB"/>
        </w:rPr>
        <w:t xml:space="preserve">in turn </w:t>
      </w:r>
      <w:r w:rsidR="003A29FB" w:rsidRPr="00D72832">
        <w:rPr>
          <w:lang w:val="en-GB"/>
        </w:rPr>
        <w:t>require a density calculation but have no size limitations</w:t>
      </w:r>
      <w:r w:rsidR="00823332" w:rsidRPr="00D72832">
        <w:rPr>
          <w:lang w:val="en-GB"/>
        </w:rPr>
        <w:t xml:space="preserve"> and providing only a very low pressure drop and thus a low risk of LNG flashing</w:t>
      </w:r>
      <w:r w:rsidR="00D848C4" w:rsidRPr="00D72832">
        <w:rPr>
          <w:lang w:val="en-GB"/>
        </w:rPr>
        <w:t>. UFMs</w:t>
      </w:r>
      <w:r w:rsidR="00015C64" w:rsidRPr="00D72832">
        <w:rPr>
          <w:lang w:val="en-GB"/>
        </w:rPr>
        <w:t xml:space="preserve"> are therefore well </w:t>
      </w:r>
      <w:r w:rsidR="00D848C4" w:rsidRPr="00D72832">
        <w:rPr>
          <w:lang w:val="en-GB"/>
        </w:rPr>
        <w:t xml:space="preserve">suited for </w:t>
      </w:r>
      <w:r w:rsidR="008D7983" w:rsidRPr="00D72832">
        <w:rPr>
          <w:lang w:val="en-GB"/>
        </w:rPr>
        <w:t>transfer measurements of large volume of LNG</w:t>
      </w:r>
      <w:r w:rsidR="003A29FB" w:rsidRPr="00D72832">
        <w:rPr>
          <w:lang w:val="en-GB"/>
        </w:rPr>
        <w:t>.</w:t>
      </w:r>
      <w:r w:rsidR="00580033" w:rsidRPr="00D72832">
        <w:rPr>
          <w:lang w:val="en-GB"/>
        </w:rPr>
        <w:t xml:space="preserve"> </w:t>
      </w:r>
      <w:r w:rsidR="003A29FB" w:rsidRPr="00D72832">
        <w:rPr>
          <w:lang w:val="en-GB"/>
        </w:rPr>
        <w:t>In the further course of the project a</w:t>
      </w:r>
      <w:r w:rsidRPr="00D72832">
        <w:rPr>
          <w:lang w:val="en-GB"/>
        </w:rPr>
        <w:t>n ISO standard for flow metering systems will be drafted that will accelerate the application of flow meters in LNG custody transfer and lead to smaller uncertainties and simpler operations.</w:t>
      </w:r>
      <w:r w:rsidR="00545348" w:rsidRPr="00D72832">
        <w:rPr>
          <w:lang w:val="en-GB"/>
        </w:rPr>
        <w:t xml:space="preserve"> </w:t>
      </w:r>
      <w:r w:rsidRPr="00D72832">
        <w:rPr>
          <w:lang w:val="en-GB"/>
        </w:rPr>
        <w:t xml:space="preserve">Finally the </w:t>
      </w:r>
      <w:r w:rsidR="00CE2281" w:rsidRPr="00D72832">
        <w:rPr>
          <w:lang w:val="en-GB"/>
        </w:rPr>
        <w:t>new mid-scale LNG facility</w:t>
      </w:r>
      <w:r w:rsidRPr="00D72832">
        <w:rPr>
          <w:lang w:val="en-GB"/>
        </w:rPr>
        <w:t xml:space="preserve"> will be used to carry out R&amp;D programs to validate models for extrapolating flow meter calibrations from low to high flow rates and from water to LNG</w:t>
      </w:r>
      <w:r w:rsidR="00B45976" w:rsidRPr="00D72832">
        <w:rPr>
          <w:lang w:val="en-GB"/>
        </w:rPr>
        <w:t>,</w:t>
      </w:r>
      <w:r w:rsidR="00A63BEA" w:rsidRPr="00D72832">
        <w:rPr>
          <w:lang w:val="en-GB"/>
        </w:rPr>
        <w:t xml:space="preserve"> also since</w:t>
      </w:r>
      <w:r w:rsidR="004A1485" w:rsidRPr="00D72832">
        <w:rPr>
          <w:lang w:val="en-GB"/>
        </w:rPr>
        <w:t xml:space="preserve"> until today</w:t>
      </w:r>
      <w:r w:rsidR="00A63BEA" w:rsidRPr="00D72832">
        <w:rPr>
          <w:lang w:val="en-GB"/>
        </w:rPr>
        <w:t xml:space="preserve"> LNG flow metering is relying on calibrations with water</w:t>
      </w:r>
      <w:r w:rsidRPr="00D72832">
        <w:rPr>
          <w:lang w:val="en-GB"/>
        </w:rPr>
        <w:t xml:space="preserve">. The facility will also </w:t>
      </w:r>
      <w:r w:rsidR="0011045C" w:rsidRPr="00D72832">
        <w:rPr>
          <w:lang w:val="en-GB"/>
        </w:rPr>
        <w:t>be used</w:t>
      </w:r>
      <w:r w:rsidRPr="00D72832">
        <w:rPr>
          <w:lang w:val="en-GB"/>
        </w:rPr>
        <w:t xml:space="preserve"> </w:t>
      </w:r>
      <w:r w:rsidR="0011045C" w:rsidRPr="00D72832">
        <w:rPr>
          <w:lang w:val="en-GB"/>
        </w:rPr>
        <w:t>for</w:t>
      </w:r>
      <w:r w:rsidRPr="00D72832">
        <w:rPr>
          <w:lang w:val="en-GB"/>
        </w:rPr>
        <w:t xml:space="preserve"> research results on flow meter installation effects.</w:t>
      </w:r>
      <w:r w:rsidR="00545348" w:rsidRPr="00D72832">
        <w:rPr>
          <w:lang w:val="en-GB"/>
        </w:rPr>
        <w:t xml:space="preserve"> </w:t>
      </w:r>
    </w:p>
    <w:p w:rsidR="00AB51F5" w:rsidRPr="00D72832" w:rsidRDefault="00AB51F5" w:rsidP="00D82EAC">
      <w:pPr>
        <w:pStyle w:val="Brdtext"/>
        <w:rPr>
          <w:lang w:val="en-GB"/>
        </w:rPr>
      </w:pPr>
    </w:p>
    <w:p w:rsidR="00C84E7C" w:rsidRPr="00D72832" w:rsidRDefault="002929C6" w:rsidP="00C84E7C">
      <w:pPr>
        <w:pStyle w:val="Rubrik1"/>
        <w:rPr>
          <w:lang w:val="en-GB"/>
        </w:rPr>
      </w:pPr>
      <w:r w:rsidRPr="00D72832">
        <w:rPr>
          <w:lang w:val="en-GB"/>
        </w:rPr>
        <w:t>4</w:t>
      </w:r>
      <w:r w:rsidR="005F2C46" w:rsidRPr="00D72832">
        <w:rPr>
          <w:lang w:val="en-GB"/>
        </w:rPr>
        <w:t xml:space="preserve">. </w:t>
      </w:r>
      <w:r w:rsidR="006929DB" w:rsidRPr="00D72832">
        <w:rPr>
          <w:lang w:val="en-GB"/>
        </w:rPr>
        <w:t>Composition measurement</w:t>
      </w:r>
    </w:p>
    <w:p w:rsidR="00C84E7C" w:rsidRPr="00D72832" w:rsidRDefault="00C84E7C" w:rsidP="00C84E7C">
      <w:pPr>
        <w:rPr>
          <w:sz w:val="20"/>
          <w:lang w:val="en-GB"/>
        </w:rPr>
      </w:pPr>
    </w:p>
    <w:p w:rsidR="00881DA2" w:rsidRPr="00D72832" w:rsidRDefault="005F1C34" w:rsidP="00C57CFE">
      <w:pPr>
        <w:pStyle w:val="Brdtext"/>
        <w:rPr>
          <w:lang w:val="en-GB"/>
        </w:rPr>
      </w:pPr>
      <w:r w:rsidRPr="00D72832">
        <w:rPr>
          <w:lang w:val="en-GB"/>
        </w:rPr>
        <w:t>T</w:t>
      </w:r>
      <w:r w:rsidR="00C57CFE" w:rsidRPr="00D72832">
        <w:rPr>
          <w:lang w:val="en-GB"/>
        </w:rPr>
        <w:t>he accurate and traceable determination of the LNG composition is crucial for the custody transfer as it allows for the accurate calculation of the physical properties as well as the methane number - both used in transport and trade. For natural gas the most accurate method for measuring the composition is gas chromatography (GC), however in the case of LNG the sampling from the liquid into a homogenous gaseous phase for analysis is challenging. An alternative envisaged for on-line testing in the LNG pipeline stream is Raman spectroscopy</w:t>
      </w:r>
      <w:r w:rsidR="00250609" w:rsidRPr="00D72832">
        <w:rPr>
          <w:lang w:val="en-GB"/>
        </w:rPr>
        <w:t>,</w:t>
      </w:r>
      <w:r w:rsidR="00C57CFE" w:rsidRPr="00D72832">
        <w:rPr>
          <w:lang w:val="en-GB"/>
        </w:rPr>
        <w:t xml:space="preserve"> but this approach is comparably new and still in the test phase. </w:t>
      </w:r>
    </w:p>
    <w:p w:rsidR="00881DA2" w:rsidRPr="00D72832" w:rsidRDefault="00881DA2" w:rsidP="00C57CFE">
      <w:pPr>
        <w:pStyle w:val="Brdtext"/>
        <w:rPr>
          <w:lang w:val="en-GB"/>
        </w:rPr>
      </w:pPr>
    </w:p>
    <w:p w:rsidR="00881DA2" w:rsidRPr="00D72832" w:rsidRDefault="002929C6" w:rsidP="00881DA2">
      <w:pPr>
        <w:pStyle w:val="Brdtext"/>
        <w:rPr>
          <w:i/>
          <w:lang w:val="en-GB"/>
        </w:rPr>
      </w:pPr>
      <w:r w:rsidRPr="00D72832">
        <w:rPr>
          <w:i/>
          <w:lang w:val="en-GB"/>
        </w:rPr>
        <w:t>4</w:t>
      </w:r>
      <w:r w:rsidR="00881DA2" w:rsidRPr="00D72832">
        <w:rPr>
          <w:i/>
          <w:lang w:val="en-GB"/>
        </w:rPr>
        <w:t>.1 Mobile and compact sampler</w:t>
      </w:r>
    </w:p>
    <w:p w:rsidR="00803899" w:rsidRPr="00D72832" w:rsidRDefault="00C57CFE" w:rsidP="00C57CFE">
      <w:pPr>
        <w:pStyle w:val="Brdtext"/>
        <w:rPr>
          <w:lang w:val="en-GB"/>
        </w:rPr>
      </w:pPr>
      <w:r w:rsidRPr="00D72832">
        <w:rPr>
          <w:lang w:val="en-GB"/>
        </w:rPr>
        <w:t xml:space="preserve">One aim is to address the aforementioned issues by investigating methods to sample and vaporise LNG in a representative, homogeneous and reproducible fashion. In order to achieve this, a mobile and compact sampler </w:t>
      </w:r>
      <w:r w:rsidRPr="00D72832">
        <w:rPr>
          <w:lang w:val="en-GB"/>
        </w:rPr>
        <w:lastRenderedPageBreak/>
        <w:t>has been developed and will be tested and validated on</w:t>
      </w:r>
      <w:r w:rsidR="00127888" w:rsidRPr="00D72832">
        <w:rPr>
          <w:lang w:val="en-GB"/>
        </w:rPr>
        <w:t>-</w:t>
      </w:r>
      <w:r w:rsidRPr="00D72832">
        <w:rPr>
          <w:lang w:val="en-GB"/>
        </w:rPr>
        <w:t>site at a LBG storage facility in Gothenburg</w:t>
      </w:r>
      <w:r w:rsidR="00B0741E" w:rsidRPr="00D72832">
        <w:rPr>
          <w:lang w:val="en-GB"/>
        </w:rPr>
        <w:t>, Sweden</w:t>
      </w:r>
      <w:r w:rsidRPr="00D72832">
        <w:rPr>
          <w:lang w:val="en-GB"/>
        </w:rPr>
        <w:t xml:space="preserve">. </w:t>
      </w:r>
    </w:p>
    <w:p w:rsidR="00C57CFE" w:rsidRPr="00D72832" w:rsidRDefault="00312850" w:rsidP="00C57CFE">
      <w:pPr>
        <w:pStyle w:val="Brdtext"/>
        <w:rPr>
          <w:lang w:val="en-GB"/>
        </w:rPr>
      </w:pPr>
      <w:r w:rsidRPr="00D72832">
        <w:rPr>
          <w:lang w:val="en-GB"/>
        </w:rPr>
        <w:t>In addition an accurate lab</w:t>
      </w:r>
      <w:r w:rsidR="008D4DB5" w:rsidRPr="00D72832">
        <w:rPr>
          <w:lang w:val="en-GB"/>
        </w:rPr>
        <w:t>oratory</w:t>
      </w:r>
      <w:r w:rsidRPr="00D72832">
        <w:rPr>
          <w:lang w:val="en-GB"/>
        </w:rPr>
        <w:t>-based LNG sampling and composition measurement reference standard, consis</w:t>
      </w:r>
      <w:r w:rsidR="008D4DB5" w:rsidRPr="00D72832">
        <w:rPr>
          <w:lang w:val="en-GB"/>
        </w:rPr>
        <w:t>ting</w:t>
      </w:r>
      <w:r w:rsidRPr="00D72832">
        <w:rPr>
          <w:lang w:val="en-GB"/>
        </w:rPr>
        <w:t xml:space="preserve"> of sa</w:t>
      </w:r>
      <w:r w:rsidR="008D4DB5" w:rsidRPr="00D72832">
        <w:rPr>
          <w:lang w:val="en-GB"/>
        </w:rPr>
        <w:t>mpler, vaporizer, gas standards</w:t>
      </w:r>
      <w:r w:rsidRPr="00D72832">
        <w:rPr>
          <w:lang w:val="en-GB"/>
        </w:rPr>
        <w:t xml:space="preserve"> and GC is being developed. The setup uses certified gas standards of known composition to provide traceability</w:t>
      </w:r>
      <w:r w:rsidR="005251CB" w:rsidRPr="00D72832">
        <w:rPr>
          <w:lang w:val="en-GB"/>
        </w:rPr>
        <w:t xml:space="preserve"> </w:t>
      </w:r>
      <w:r w:rsidR="0011045C" w:rsidRPr="00D72832">
        <w:rPr>
          <w:lang w:val="en-GB"/>
        </w:rPr>
        <w:t xml:space="preserve">and </w:t>
      </w:r>
      <w:r w:rsidRPr="00D72832">
        <w:rPr>
          <w:lang w:val="en-GB"/>
        </w:rPr>
        <w:t>will be cross-validated by a Rama</w:t>
      </w:r>
      <w:r w:rsidR="005251CB" w:rsidRPr="00D72832">
        <w:rPr>
          <w:lang w:val="en-GB"/>
        </w:rPr>
        <w:t xml:space="preserve">n </w:t>
      </w:r>
      <w:r w:rsidR="008D4DB5" w:rsidRPr="00D72832">
        <w:rPr>
          <w:lang w:val="en-GB"/>
        </w:rPr>
        <w:t>spectrometer</w:t>
      </w:r>
      <w:r w:rsidR="005251CB" w:rsidRPr="00D72832">
        <w:rPr>
          <w:lang w:val="en-GB"/>
        </w:rPr>
        <w:t>.</w:t>
      </w:r>
      <w:r w:rsidRPr="00D72832">
        <w:rPr>
          <w:lang w:val="en-GB"/>
        </w:rPr>
        <w:t xml:space="preserve"> </w:t>
      </w:r>
      <w:r w:rsidR="005251CB" w:rsidRPr="00D72832">
        <w:rPr>
          <w:lang w:val="en-GB"/>
        </w:rPr>
        <w:t>A</w:t>
      </w:r>
      <w:r w:rsidRPr="00D72832">
        <w:rPr>
          <w:lang w:val="en-GB"/>
        </w:rPr>
        <w:t xml:space="preserve">fterwards </w:t>
      </w:r>
      <w:r w:rsidR="005251CB" w:rsidRPr="00D72832">
        <w:rPr>
          <w:lang w:val="en-GB"/>
        </w:rPr>
        <w:t xml:space="preserve">it will be used to </w:t>
      </w:r>
      <w:r w:rsidRPr="00D72832">
        <w:rPr>
          <w:lang w:val="en-GB"/>
        </w:rPr>
        <w:t xml:space="preserve">validate commercially available LNG sampling and composition measurement systems. In addition the Raman </w:t>
      </w:r>
      <w:r w:rsidR="008D4DB5" w:rsidRPr="00D72832">
        <w:rPr>
          <w:lang w:val="en-GB"/>
        </w:rPr>
        <w:t xml:space="preserve">system </w:t>
      </w:r>
      <w:r w:rsidRPr="00D72832">
        <w:rPr>
          <w:lang w:val="en-GB"/>
        </w:rPr>
        <w:t>used for cross-validation will be calibrated by an independent party using a liquefier</w:t>
      </w:r>
      <w:r w:rsidR="008D4DB5" w:rsidRPr="00D72832">
        <w:rPr>
          <w:lang w:val="en-GB"/>
        </w:rPr>
        <w:t>,</w:t>
      </w:r>
      <w:r w:rsidRPr="00D72832">
        <w:rPr>
          <w:lang w:val="en-GB"/>
        </w:rPr>
        <w:t xml:space="preserve"> before and after the validation measurements </w:t>
      </w:r>
      <w:r w:rsidR="005251CB" w:rsidRPr="00D72832">
        <w:rPr>
          <w:lang w:val="en-GB"/>
        </w:rPr>
        <w:t xml:space="preserve">with </w:t>
      </w:r>
      <w:r w:rsidRPr="00D72832">
        <w:rPr>
          <w:lang w:val="en-GB"/>
        </w:rPr>
        <w:t>GC.</w:t>
      </w:r>
    </w:p>
    <w:p w:rsidR="004277F8" w:rsidRPr="00D72832" w:rsidRDefault="004277F8" w:rsidP="00C57CFE">
      <w:pPr>
        <w:pStyle w:val="Brdtext"/>
        <w:rPr>
          <w:lang w:val="en-GB"/>
        </w:rPr>
      </w:pPr>
    </w:p>
    <w:p w:rsidR="004277F8" w:rsidRPr="00D72832" w:rsidRDefault="002929C6" w:rsidP="00C57CFE">
      <w:pPr>
        <w:pStyle w:val="Brdtext"/>
        <w:rPr>
          <w:i/>
          <w:lang w:val="en-GB"/>
        </w:rPr>
      </w:pPr>
      <w:r w:rsidRPr="00D72832">
        <w:rPr>
          <w:i/>
          <w:lang w:val="en-GB"/>
        </w:rPr>
        <w:t>4</w:t>
      </w:r>
      <w:r w:rsidR="004277F8" w:rsidRPr="00D72832">
        <w:rPr>
          <w:i/>
          <w:lang w:val="en-GB"/>
        </w:rPr>
        <w:t>.</w:t>
      </w:r>
      <w:r w:rsidR="00416B3D" w:rsidRPr="00D72832">
        <w:rPr>
          <w:i/>
          <w:lang w:val="en-GB"/>
        </w:rPr>
        <w:t>2</w:t>
      </w:r>
      <w:r w:rsidR="004277F8" w:rsidRPr="00D72832">
        <w:rPr>
          <w:i/>
          <w:lang w:val="en-GB"/>
        </w:rPr>
        <w:t xml:space="preserve"> Effect of long-term storage of LNG</w:t>
      </w:r>
    </w:p>
    <w:p w:rsidR="0006132C" w:rsidRPr="00D72832" w:rsidRDefault="00C57CFE" w:rsidP="00C57CFE">
      <w:pPr>
        <w:pStyle w:val="Brdtext"/>
        <w:rPr>
          <w:lang w:val="en-GB"/>
        </w:rPr>
      </w:pPr>
      <w:r w:rsidRPr="00D72832">
        <w:rPr>
          <w:lang w:val="en-GB"/>
        </w:rPr>
        <w:t>A second topic that is being investigated is the effect of long-term storage of LNG on its composition and the development of methods to quantify particles in LNG. In general long-term storage of natural gas in the liquid phase is desirable due to the significant increase in the amount of substance that can be stored using the same storage volume. However, since the technique of storing cryogenically cooled liquefied natural gas is new</w:t>
      </w:r>
      <w:r w:rsidR="00CD6380" w:rsidRPr="00D72832">
        <w:rPr>
          <w:lang w:val="en-GB"/>
        </w:rPr>
        <w:t>,</w:t>
      </w:r>
      <w:r w:rsidRPr="00D72832">
        <w:rPr>
          <w:lang w:val="en-GB"/>
        </w:rPr>
        <w:t xml:space="preserve"> the effect of storage on the LNG composition is not well documented. Therefore in order to get a better understanding of these aging effects</w:t>
      </w:r>
      <w:r w:rsidR="00CD6380" w:rsidRPr="00D72832">
        <w:rPr>
          <w:lang w:val="en-GB"/>
        </w:rPr>
        <w:t>,</w:t>
      </w:r>
      <w:r w:rsidRPr="00D72832">
        <w:rPr>
          <w:lang w:val="en-GB"/>
        </w:rPr>
        <w:t xml:space="preserve"> the aforementioned mobile sampler is used to take a set of samples from a storage facility at regular intervals. Afterwards the samples are being analysed using GC.</w:t>
      </w:r>
    </w:p>
    <w:p w:rsidR="0006132C" w:rsidRPr="00D72832" w:rsidRDefault="0006132C" w:rsidP="00C57CFE">
      <w:pPr>
        <w:pStyle w:val="Brdtext"/>
        <w:rPr>
          <w:lang w:val="en-GB"/>
        </w:rPr>
      </w:pPr>
    </w:p>
    <w:p w:rsidR="0006132C" w:rsidRPr="00D72832" w:rsidRDefault="002929C6" w:rsidP="0006132C">
      <w:pPr>
        <w:pStyle w:val="Brdtext"/>
        <w:rPr>
          <w:i/>
          <w:lang w:val="en-GB"/>
        </w:rPr>
      </w:pPr>
      <w:r w:rsidRPr="00D72832">
        <w:rPr>
          <w:i/>
          <w:lang w:val="en-GB"/>
        </w:rPr>
        <w:t>4</w:t>
      </w:r>
      <w:r w:rsidR="0006132C" w:rsidRPr="00D72832">
        <w:rPr>
          <w:i/>
          <w:lang w:val="en-GB"/>
        </w:rPr>
        <w:t>.3 Particle measurement</w:t>
      </w:r>
    </w:p>
    <w:p w:rsidR="00D36A3B" w:rsidRPr="00D72832" w:rsidRDefault="00514C9C" w:rsidP="00D36A3B">
      <w:pPr>
        <w:pStyle w:val="Brdtext"/>
        <w:rPr>
          <w:lang w:val="en-GB"/>
        </w:rPr>
      </w:pPr>
      <w:r w:rsidRPr="00D72832">
        <w:rPr>
          <w:lang w:val="en-GB"/>
        </w:rPr>
        <w:t>Since LNG is used as engine fuel, industry, and in particular engine manufactures, have strict requirements regarding its composition and cleanliness</w:t>
      </w:r>
      <w:r w:rsidR="00C57CFE" w:rsidRPr="00D72832">
        <w:rPr>
          <w:lang w:val="en-GB"/>
        </w:rPr>
        <w:t>. Depending on the technique deployed for supplying LNG and injecting the fuel into the engine</w:t>
      </w:r>
      <w:r w:rsidR="00815D1B" w:rsidRPr="00D72832">
        <w:rPr>
          <w:lang w:val="en-GB"/>
        </w:rPr>
        <w:t>,</w:t>
      </w:r>
      <w:r w:rsidR="00C57CFE" w:rsidRPr="00D72832">
        <w:rPr>
          <w:lang w:val="en-GB"/>
        </w:rPr>
        <w:t xml:space="preserve"> mechanical components like pumps are sensitive to the presence of micrometre-sized particles as they can cause premature wear. Therefore a method for determining the particle number and size distribution in LNG is being developed as part of</w:t>
      </w:r>
      <w:r w:rsidR="001E23B3" w:rsidRPr="00D72832">
        <w:rPr>
          <w:lang w:val="en-GB"/>
        </w:rPr>
        <w:t xml:space="preserve"> the</w:t>
      </w:r>
      <w:r w:rsidR="00C57CFE" w:rsidRPr="00D72832">
        <w:rPr>
          <w:lang w:val="en-GB"/>
        </w:rPr>
        <w:t xml:space="preserve"> work package. In a field study using the mobile sampler combined with an optical particle counter</w:t>
      </w:r>
      <w:r w:rsidR="00D35E5B" w:rsidRPr="00D72832">
        <w:rPr>
          <w:lang w:val="en-GB"/>
        </w:rPr>
        <w:t>,</w:t>
      </w:r>
      <w:r w:rsidR="00C57CFE" w:rsidRPr="00D72832">
        <w:rPr>
          <w:lang w:val="en-GB"/>
        </w:rPr>
        <w:t xml:space="preserve"> a series of samples will be taken from a LBG storage site and analysed. The applied test procedure is being developed using representative gas reference standards and particle sources and the results of the field study will be compared with results of an independent gravimetric method for</w:t>
      </w:r>
      <w:r w:rsidR="003511DB" w:rsidRPr="00D72832">
        <w:rPr>
          <w:lang w:val="en-GB"/>
        </w:rPr>
        <w:t xml:space="preserve"> the measurement of</w:t>
      </w:r>
      <w:r w:rsidR="00C57CFE" w:rsidRPr="00D72832">
        <w:rPr>
          <w:lang w:val="en-GB"/>
        </w:rPr>
        <w:t xml:space="preserve"> particle</w:t>
      </w:r>
      <w:r w:rsidR="003511DB" w:rsidRPr="00D72832">
        <w:rPr>
          <w:lang w:val="en-GB"/>
        </w:rPr>
        <w:t>s</w:t>
      </w:r>
      <w:r w:rsidR="00C57CFE" w:rsidRPr="00D72832">
        <w:rPr>
          <w:lang w:val="en-GB"/>
        </w:rPr>
        <w:t>.</w:t>
      </w:r>
    </w:p>
    <w:p w:rsidR="00D36A3B" w:rsidRPr="00D72832" w:rsidRDefault="00D36A3B" w:rsidP="00D36A3B">
      <w:pPr>
        <w:pStyle w:val="Brdtext"/>
        <w:rPr>
          <w:lang w:val="en-GB"/>
        </w:rPr>
      </w:pPr>
    </w:p>
    <w:p w:rsidR="00C84E7C" w:rsidRPr="00D72832" w:rsidRDefault="002929C6" w:rsidP="00D36A3B">
      <w:pPr>
        <w:pStyle w:val="Rubrik1"/>
        <w:rPr>
          <w:lang w:val="en-GB"/>
        </w:rPr>
      </w:pPr>
      <w:r w:rsidRPr="00D72832">
        <w:rPr>
          <w:lang w:val="en-GB"/>
        </w:rPr>
        <w:t>5</w:t>
      </w:r>
      <w:r w:rsidR="00C84E7C" w:rsidRPr="00D72832">
        <w:rPr>
          <w:lang w:val="en-GB"/>
        </w:rPr>
        <w:t>. Methane number</w:t>
      </w:r>
    </w:p>
    <w:p w:rsidR="00D36A3B" w:rsidRPr="00D72832" w:rsidRDefault="00D36A3B" w:rsidP="00D36A3B">
      <w:pPr>
        <w:pStyle w:val="Brdtext"/>
        <w:rPr>
          <w:lang w:val="en-GB"/>
        </w:rPr>
      </w:pPr>
    </w:p>
    <w:p w:rsidR="008C2884" w:rsidRPr="004D1094" w:rsidRDefault="00E4451B" w:rsidP="00D36A3B">
      <w:pPr>
        <w:pStyle w:val="Brdtext"/>
        <w:rPr>
          <w:lang w:val="en-GB"/>
        </w:rPr>
      </w:pPr>
      <w:r w:rsidRPr="00D72832">
        <w:rPr>
          <w:lang w:val="en-GB"/>
        </w:rPr>
        <w:t>The m</w:t>
      </w:r>
      <w:r w:rsidR="004F66EF" w:rsidRPr="00D72832">
        <w:rPr>
          <w:lang w:val="en-GB"/>
        </w:rPr>
        <w:t>ethane number (MN) is the natural gas counterpart of the octane number (ON) and describes the knocking resistance of a gas mixture to engine knocking. Knocking is a phenomenon in spark ignited internal combustion engines w</w:t>
      </w:r>
      <w:r w:rsidR="008C4CD0" w:rsidRPr="00D72832">
        <w:rPr>
          <w:lang w:val="en-GB"/>
        </w:rPr>
        <w:t>h</w:t>
      </w:r>
      <w:r w:rsidR="004F66EF" w:rsidRPr="00D72832">
        <w:rPr>
          <w:lang w:val="en-GB"/>
        </w:rPr>
        <w:t>ere ignition occurs at o</w:t>
      </w:r>
      <w:r w:rsidR="00EC2A88" w:rsidRPr="00D72832">
        <w:rPr>
          <w:lang w:val="en-GB"/>
        </w:rPr>
        <w:t>ther points in time and space than</w:t>
      </w:r>
      <w:r w:rsidR="004F66EF" w:rsidRPr="00D72832">
        <w:rPr>
          <w:lang w:val="en-GB"/>
        </w:rPr>
        <w:t xml:space="preserve"> the spark. This has to be avoided, because it can lead to higher stress on the </w:t>
      </w:r>
      <w:r w:rsidR="004F66EF" w:rsidRPr="004D1094">
        <w:rPr>
          <w:lang w:val="en-GB"/>
        </w:rPr>
        <w:t>engine and possibly destruction. To avoid problems the fuels are characterised by a fuel number which expresses the knocking propensity.</w:t>
      </w:r>
    </w:p>
    <w:p w:rsidR="00A16FE8" w:rsidRPr="004D1094" w:rsidRDefault="004F66EF" w:rsidP="00D36A3B">
      <w:pPr>
        <w:pStyle w:val="Brdtext"/>
        <w:rPr>
          <w:color w:val="000000" w:themeColor="text1"/>
          <w:lang w:val="en-GB"/>
        </w:rPr>
      </w:pPr>
      <w:r w:rsidRPr="004D1094">
        <w:rPr>
          <w:lang w:val="en-GB"/>
        </w:rPr>
        <w:lastRenderedPageBreak/>
        <w:t xml:space="preserve">Similar to the ON a reference binary mixture is used for the scale were the value 100 corresponds to pure methane with low knocking propensity and the value 0 corresponds to pure hydrogen with a higher knocking propensity. </w:t>
      </w:r>
      <w:r w:rsidRPr="004D1094">
        <w:rPr>
          <w:color w:val="000000" w:themeColor="text1"/>
          <w:lang w:val="en-GB"/>
        </w:rPr>
        <w:t xml:space="preserve">Although widely used to validate the quality of LNG mixtures, there is no homogeneous method for calculating the </w:t>
      </w:r>
      <w:r w:rsidRPr="007A6CB8">
        <w:rPr>
          <w:lang w:val="en-GB"/>
        </w:rPr>
        <w:t xml:space="preserve">MN. </w:t>
      </w:r>
      <w:r w:rsidR="00325FDE" w:rsidRPr="007A6CB8">
        <w:rPr>
          <w:lang w:val="en-GB"/>
        </w:rPr>
        <w:t>A</w:t>
      </w:r>
      <w:r w:rsidRPr="007A6CB8">
        <w:rPr>
          <w:lang w:val="en-GB"/>
        </w:rPr>
        <w:t xml:space="preserve"> </w:t>
      </w:r>
      <w:r w:rsidR="00705247" w:rsidRPr="007A6CB8">
        <w:rPr>
          <w:lang w:val="en-GB"/>
        </w:rPr>
        <w:t>main objective</w:t>
      </w:r>
      <w:r w:rsidRPr="007A6CB8">
        <w:rPr>
          <w:lang w:val="en-GB"/>
        </w:rPr>
        <w:t xml:space="preserve"> </w:t>
      </w:r>
      <w:r w:rsidR="006A3EB8" w:rsidRPr="007A6CB8">
        <w:rPr>
          <w:lang w:val="en-GB"/>
        </w:rPr>
        <w:t>i</w:t>
      </w:r>
      <w:r w:rsidRPr="007A6CB8">
        <w:rPr>
          <w:lang w:val="en-GB"/>
        </w:rPr>
        <w:t xml:space="preserve">s to develop a standardized algorithm for calculating the MN. For </w:t>
      </w:r>
      <w:r w:rsidRPr="004D1094">
        <w:rPr>
          <w:color w:val="000000" w:themeColor="text1"/>
          <w:lang w:val="en-GB"/>
        </w:rPr>
        <w:t>th</w:t>
      </w:r>
      <w:r w:rsidR="006A3EB8" w:rsidRPr="004D1094">
        <w:rPr>
          <w:color w:val="000000" w:themeColor="text1"/>
          <w:lang w:val="en-GB"/>
        </w:rPr>
        <w:t>e same</w:t>
      </w:r>
      <w:r w:rsidRPr="004D1094">
        <w:rPr>
          <w:color w:val="000000" w:themeColor="text1"/>
          <w:lang w:val="en-GB"/>
        </w:rPr>
        <w:t xml:space="preserve"> reason</w:t>
      </w:r>
      <w:r w:rsidR="00CA40E7">
        <w:rPr>
          <w:color w:val="000000" w:themeColor="text1"/>
          <w:lang w:val="en-GB"/>
        </w:rPr>
        <w:t>,</w:t>
      </w:r>
      <w:r w:rsidRPr="004D1094">
        <w:rPr>
          <w:color w:val="000000" w:themeColor="text1"/>
          <w:lang w:val="en-GB"/>
        </w:rPr>
        <w:t xml:space="preserve"> experimental measurements regarding knocking and ignition delay times will be performed for a further improvement of the calculation algorithm</w:t>
      </w:r>
      <w:r w:rsidR="00A16FE8" w:rsidRPr="004D1094">
        <w:rPr>
          <w:color w:val="000000" w:themeColor="text1"/>
          <w:lang w:val="en-GB"/>
        </w:rPr>
        <w:t>.</w:t>
      </w:r>
    </w:p>
    <w:p w:rsidR="004F66EF" w:rsidRPr="004D1094" w:rsidRDefault="004F66EF" w:rsidP="00D36A3B">
      <w:pPr>
        <w:pStyle w:val="Brdtext"/>
        <w:rPr>
          <w:color w:val="000000" w:themeColor="text1"/>
          <w:lang w:val="en-GB"/>
        </w:rPr>
      </w:pPr>
    </w:p>
    <w:p w:rsidR="004513FA" w:rsidRPr="004D1094" w:rsidRDefault="002929C6" w:rsidP="004513FA">
      <w:pPr>
        <w:pStyle w:val="Brdtext"/>
        <w:keepNext/>
        <w:rPr>
          <w:lang w:val="en-GB"/>
        </w:rPr>
      </w:pPr>
      <w:r w:rsidRPr="004D1094">
        <w:rPr>
          <w:i/>
          <w:lang w:val="en-GB"/>
        </w:rPr>
        <w:t>5</w:t>
      </w:r>
      <w:r w:rsidR="004513FA" w:rsidRPr="004D1094">
        <w:rPr>
          <w:i/>
          <w:lang w:val="en-GB"/>
        </w:rPr>
        <w:t>.1 Algorithm for calculating the MN of a LNG mixture based on its composition</w:t>
      </w:r>
      <w:r w:rsidR="004513FA" w:rsidRPr="004D1094">
        <w:rPr>
          <w:lang w:val="en-GB"/>
        </w:rPr>
        <w:t xml:space="preserve"> </w:t>
      </w:r>
    </w:p>
    <w:p w:rsidR="00666F60" w:rsidRPr="004D1094" w:rsidRDefault="004513FA" w:rsidP="003F006A">
      <w:pPr>
        <w:pStyle w:val="Brdtext"/>
        <w:keepNext/>
        <w:rPr>
          <w:lang w:val="en-GB"/>
        </w:rPr>
      </w:pPr>
      <w:r w:rsidRPr="004D1094">
        <w:rPr>
          <w:lang w:val="en-GB"/>
        </w:rPr>
        <w:t>The algorithm developed in this work to calculate the methane number from the composition of a LNG mixture is based on the experimental data gathered by the “</w:t>
      </w:r>
      <w:proofErr w:type="spellStart"/>
      <w:r w:rsidRPr="004D1094">
        <w:rPr>
          <w:lang w:val="en-GB"/>
        </w:rPr>
        <w:t>Anstalt</w:t>
      </w:r>
      <w:proofErr w:type="spellEnd"/>
      <w:r w:rsidRPr="004D1094">
        <w:rPr>
          <w:lang w:val="en-GB"/>
        </w:rPr>
        <w:t xml:space="preserve"> </w:t>
      </w:r>
      <w:proofErr w:type="spellStart"/>
      <w:r w:rsidRPr="004D1094">
        <w:rPr>
          <w:lang w:val="en-GB"/>
        </w:rPr>
        <w:t>für</w:t>
      </w:r>
      <w:proofErr w:type="spellEnd"/>
      <w:r w:rsidRPr="004D1094">
        <w:rPr>
          <w:lang w:val="en-GB"/>
        </w:rPr>
        <w:t xml:space="preserve"> </w:t>
      </w:r>
      <w:proofErr w:type="spellStart"/>
      <w:r w:rsidRPr="004D1094">
        <w:rPr>
          <w:lang w:val="en-GB"/>
        </w:rPr>
        <w:t>Verbrennungsmotoren</w:t>
      </w:r>
      <w:proofErr w:type="spellEnd"/>
      <w:r w:rsidRPr="004D1094">
        <w:rPr>
          <w:lang w:val="en-GB"/>
        </w:rPr>
        <w:t xml:space="preserve"> </w:t>
      </w:r>
      <w:proofErr w:type="spellStart"/>
      <w:r w:rsidR="003F006A" w:rsidRPr="004D1094">
        <w:rPr>
          <w:lang w:val="en-GB"/>
        </w:rPr>
        <w:t>Prof.</w:t>
      </w:r>
      <w:proofErr w:type="spellEnd"/>
      <w:r w:rsidR="003F006A" w:rsidRPr="004D1094">
        <w:rPr>
          <w:lang w:val="en-GB"/>
        </w:rPr>
        <w:t xml:space="preserve"> H. List” (AVL)</w:t>
      </w:r>
      <w:r w:rsidRPr="004D1094">
        <w:rPr>
          <w:lang w:val="en-GB"/>
        </w:rPr>
        <w:t>.</w:t>
      </w:r>
      <w:r w:rsidR="003F006A" w:rsidRPr="004D1094">
        <w:rPr>
          <w:lang w:val="en-GB"/>
        </w:rPr>
        <w:t xml:space="preserve"> </w:t>
      </w:r>
      <w:r w:rsidRPr="004D1094">
        <w:rPr>
          <w:lang w:val="en-GB"/>
        </w:rPr>
        <w:t xml:space="preserve">The AVL method </w:t>
      </w:r>
      <w:r w:rsidR="002748BA" w:rsidRPr="004D1094">
        <w:rPr>
          <w:lang w:val="en-GB"/>
        </w:rPr>
        <w:fldChar w:fldCharType="begin"/>
      </w:r>
      <w:r w:rsidR="002748BA" w:rsidRPr="004D1094">
        <w:rPr>
          <w:lang w:val="en-GB"/>
        </w:rPr>
        <w:instrText xml:space="preserve"> REF _Ref456774012 \r \h </w:instrText>
      </w:r>
      <w:r w:rsidR="002748BA" w:rsidRPr="004D1094">
        <w:rPr>
          <w:lang w:val="en-GB"/>
        </w:rPr>
      </w:r>
      <w:r w:rsidR="002748BA" w:rsidRPr="004D1094">
        <w:rPr>
          <w:lang w:val="en-GB"/>
        </w:rPr>
        <w:fldChar w:fldCharType="separate"/>
      </w:r>
      <w:r w:rsidR="00650C3B">
        <w:rPr>
          <w:lang w:val="en-GB"/>
        </w:rPr>
        <w:t>[4]</w:t>
      </w:r>
      <w:r w:rsidR="002748BA" w:rsidRPr="004D1094">
        <w:rPr>
          <w:lang w:val="en-GB"/>
        </w:rPr>
        <w:fldChar w:fldCharType="end"/>
      </w:r>
      <w:r w:rsidR="002748BA" w:rsidRPr="004D1094">
        <w:rPr>
          <w:lang w:val="en-GB"/>
        </w:rPr>
        <w:t xml:space="preserve"> </w:t>
      </w:r>
      <w:r w:rsidRPr="004D1094">
        <w:rPr>
          <w:lang w:val="en-GB"/>
        </w:rPr>
        <w:t>uses the ternary diagrams</w:t>
      </w:r>
      <w:r w:rsidR="003F006A" w:rsidRPr="004D1094">
        <w:rPr>
          <w:lang w:val="en-GB"/>
        </w:rPr>
        <w:t xml:space="preserve"> </w:t>
      </w:r>
      <w:r w:rsidRPr="004D1094">
        <w:rPr>
          <w:lang w:val="en-GB"/>
        </w:rPr>
        <w:t xml:space="preserve">that summarise </w:t>
      </w:r>
      <w:r w:rsidR="00666F60" w:rsidRPr="004D1094">
        <w:rPr>
          <w:lang w:val="en-GB"/>
        </w:rPr>
        <w:t>the results of the engine tests as an extensive data set for modelling the correlation between the composition of a natural gas mixture and its resulting methane number. The developed algorithm follows for the most part the steps described in the AVL report. One major difference is that the process of deriving the methane numbers for the two sub-mixtures by reading the respective ternary diagram is replaced by an automated procedure. This procedure mimics the way the aforementioned ternary diagrams are likely to be used by a reader. In order to increase the repeatability and reproducibility of the calculation of the MN by means of the new algorithm, a routine is used to minimise the difference in MN for the sub-mixtures ΔMN by varying the methane concentration of both mixtures. For the first time to our knowledge</w:t>
      </w:r>
      <w:r w:rsidR="005674DC">
        <w:rPr>
          <w:lang w:val="en-GB"/>
        </w:rPr>
        <w:t>,</w:t>
      </w:r>
      <w:r w:rsidR="00666F60" w:rsidRPr="004D1094">
        <w:rPr>
          <w:lang w:val="en-GB"/>
        </w:rPr>
        <w:t xml:space="preserve"> the new algorithm also determines the uncertainty associated with the calculated MN. The uncertainty contributions mainly stem from the use of the ternary diagrams and in particular the limited resolution of the graphs. Calculated values strongly depend on the composition of LNG yielding expanded measurement uncertainties (</w:t>
      </w:r>
      <w:r w:rsidR="00666F60" w:rsidRPr="004D1094">
        <w:rPr>
          <w:i/>
          <w:lang w:val="en-GB"/>
        </w:rPr>
        <w:t>k</w:t>
      </w:r>
      <w:r w:rsidR="00666F60" w:rsidRPr="004D1094">
        <w:rPr>
          <w:lang w:val="en-GB"/>
        </w:rPr>
        <w:t xml:space="preserve"> = 2) that vary between 0.2 and 0.7 MN or 0.3 and 0.8% relative. In order to validate the developed algorithm the calculated values for a set of exemplar LNG mixtures were compared with the results from other popular calculation tools developed by “</w:t>
      </w:r>
      <w:proofErr w:type="spellStart"/>
      <w:r w:rsidR="00666F60" w:rsidRPr="004D1094">
        <w:rPr>
          <w:lang w:val="en-GB"/>
        </w:rPr>
        <w:t>Motorenwerke</w:t>
      </w:r>
      <w:proofErr w:type="spellEnd"/>
      <w:r w:rsidR="00666F60" w:rsidRPr="004D1094">
        <w:rPr>
          <w:lang w:val="en-GB"/>
        </w:rPr>
        <w:t xml:space="preserve"> Mannheim” (MWM) </w:t>
      </w:r>
      <w:r w:rsidR="00666F60" w:rsidRPr="004D1094">
        <w:rPr>
          <w:lang w:val="en-GB"/>
        </w:rPr>
        <w:fldChar w:fldCharType="begin"/>
      </w:r>
      <w:r w:rsidR="00666F60" w:rsidRPr="004D1094">
        <w:rPr>
          <w:lang w:val="en-GB"/>
        </w:rPr>
        <w:instrText xml:space="preserve"> REF _Ref456774046 \r \h </w:instrText>
      </w:r>
      <w:r w:rsidR="00666F60" w:rsidRPr="004D1094">
        <w:rPr>
          <w:lang w:val="en-GB"/>
        </w:rPr>
      </w:r>
      <w:r w:rsidR="00666F60" w:rsidRPr="004D1094">
        <w:rPr>
          <w:lang w:val="en-GB"/>
        </w:rPr>
        <w:fldChar w:fldCharType="separate"/>
      </w:r>
      <w:r w:rsidR="00650C3B">
        <w:rPr>
          <w:lang w:val="en-GB"/>
        </w:rPr>
        <w:t>[5]</w:t>
      </w:r>
      <w:r w:rsidR="00666F60" w:rsidRPr="004D1094">
        <w:rPr>
          <w:lang w:val="en-GB"/>
        </w:rPr>
        <w:fldChar w:fldCharType="end"/>
      </w:r>
      <w:r w:rsidR="00B34AD1" w:rsidRPr="004D1094">
        <w:rPr>
          <w:lang w:val="en-GB"/>
        </w:rPr>
        <w:t xml:space="preserve"> </w:t>
      </w:r>
      <w:r w:rsidR="00666F60" w:rsidRPr="004D1094">
        <w:rPr>
          <w:lang w:val="en-GB"/>
        </w:rPr>
        <w:t xml:space="preserve">and “Danish Gas Company” (DGC) </w:t>
      </w:r>
      <w:r w:rsidR="00666F60" w:rsidRPr="004D1094">
        <w:rPr>
          <w:lang w:val="en-GB"/>
        </w:rPr>
        <w:fldChar w:fldCharType="begin"/>
      </w:r>
      <w:r w:rsidR="00666F60" w:rsidRPr="004D1094">
        <w:rPr>
          <w:lang w:val="en-GB"/>
        </w:rPr>
        <w:instrText xml:space="preserve"> REF _Ref456774077 \r \h </w:instrText>
      </w:r>
      <w:r w:rsidR="00666F60" w:rsidRPr="004D1094">
        <w:rPr>
          <w:lang w:val="en-GB"/>
        </w:rPr>
      </w:r>
      <w:r w:rsidR="00666F60" w:rsidRPr="004D1094">
        <w:rPr>
          <w:lang w:val="en-GB"/>
        </w:rPr>
        <w:fldChar w:fldCharType="separate"/>
      </w:r>
      <w:r w:rsidR="00650C3B">
        <w:rPr>
          <w:lang w:val="en-GB"/>
        </w:rPr>
        <w:t>[6]</w:t>
      </w:r>
      <w:r w:rsidR="00666F60" w:rsidRPr="004D1094">
        <w:rPr>
          <w:lang w:val="en-GB"/>
        </w:rPr>
        <w:fldChar w:fldCharType="end"/>
      </w:r>
      <w:r w:rsidR="00666F60" w:rsidRPr="004D1094">
        <w:rPr>
          <w:lang w:val="en-GB"/>
        </w:rPr>
        <w:t>. The results of the new algorithm show a good agreement with both methods with the difference between the new algorithm and the DGC method being almost negligible. The MWM method yields MN values that agree within ± 1MN.</w:t>
      </w:r>
      <w:r w:rsidR="00C10CFF" w:rsidRPr="004D1094">
        <w:rPr>
          <w:lang w:val="en-GB"/>
        </w:rPr>
        <w:t xml:space="preserve"> </w:t>
      </w:r>
      <w:r w:rsidR="00B03D83" w:rsidRPr="004D1094">
        <w:rPr>
          <w:lang w:val="en-GB"/>
        </w:rPr>
        <w:br/>
      </w:r>
      <w:r w:rsidR="00C10CFF" w:rsidRPr="004D1094">
        <w:rPr>
          <w:lang w:val="en-GB"/>
        </w:rPr>
        <w:t>In order to check the linearity of the developed algorithm, the results for a set of gas mixtures covering a MN range between 60 and 99 were compared with the results derived from the DGC and MWM method. As a result, the newly developed algorithm correlates approximately linearly with the two other methods.</w:t>
      </w:r>
    </w:p>
    <w:p w:rsidR="00666F60" w:rsidRPr="004D1094" w:rsidRDefault="00666F60" w:rsidP="00666F60">
      <w:pPr>
        <w:jc w:val="both"/>
        <w:rPr>
          <w:sz w:val="20"/>
          <w:lang w:val="en-GB"/>
        </w:rPr>
      </w:pPr>
    </w:p>
    <w:p w:rsidR="00604AD1" w:rsidRPr="004D1094" w:rsidRDefault="002929C6" w:rsidP="00DB37A7">
      <w:pPr>
        <w:jc w:val="both"/>
        <w:rPr>
          <w:i/>
          <w:sz w:val="20"/>
          <w:lang w:val="en-GB"/>
        </w:rPr>
      </w:pPr>
      <w:r w:rsidRPr="004D1094">
        <w:rPr>
          <w:i/>
          <w:sz w:val="20"/>
          <w:lang w:val="en-GB"/>
        </w:rPr>
        <w:t>5</w:t>
      </w:r>
      <w:r w:rsidR="00604AD1" w:rsidRPr="004D1094">
        <w:rPr>
          <w:i/>
          <w:sz w:val="20"/>
          <w:lang w:val="en-GB"/>
        </w:rPr>
        <w:t xml:space="preserve">.2 </w:t>
      </w:r>
      <w:r w:rsidR="00897D08" w:rsidRPr="004D1094">
        <w:rPr>
          <w:i/>
          <w:sz w:val="20"/>
          <w:lang w:val="en-GB"/>
        </w:rPr>
        <w:t>Spark-Ignition (SI) engine measurements</w:t>
      </w:r>
    </w:p>
    <w:p w:rsidR="00E6294C" w:rsidRPr="004D1094" w:rsidRDefault="00BA6838" w:rsidP="00BA6838">
      <w:pPr>
        <w:jc w:val="both"/>
        <w:rPr>
          <w:sz w:val="20"/>
          <w:lang w:val="en-GB"/>
        </w:rPr>
      </w:pPr>
      <w:r w:rsidRPr="004D1094">
        <w:rPr>
          <w:sz w:val="20"/>
          <w:lang w:val="en-GB"/>
        </w:rPr>
        <w:t>The MN can only be measured with the equipment</w:t>
      </w:r>
      <w:r w:rsidR="00D205F2" w:rsidRPr="004D1094">
        <w:rPr>
          <w:sz w:val="20"/>
          <w:lang w:val="en-GB"/>
        </w:rPr>
        <w:t xml:space="preserve"> originally</w:t>
      </w:r>
      <w:r w:rsidRPr="004D1094">
        <w:rPr>
          <w:sz w:val="20"/>
          <w:lang w:val="en-GB"/>
        </w:rPr>
        <w:t xml:space="preserve"> used by AVL</w:t>
      </w:r>
      <w:r w:rsidR="00D205F2" w:rsidRPr="004D1094">
        <w:rPr>
          <w:sz w:val="20"/>
          <w:lang w:val="en-GB"/>
        </w:rPr>
        <w:t xml:space="preserve"> </w:t>
      </w:r>
      <w:r w:rsidRPr="004D1094">
        <w:rPr>
          <w:sz w:val="20"/>
          <w:lang w:val="en-GB"/>
        </w:rPr>
        <w:t>during the development of the method</w:t>
      </w:r>
      <w:r w:rsidR="00D205F2" w:rsidRPr="004D1094">
        <w:rPr>
          <w:sz w:val="20"/>
          <w:lang w:val="en-GB"/>
        </w:rPr>
        <w:t xml:space="preserve"> </w:t>
      </w:r>
      <w:r w:rsidR="00D205F2" w:rsidRPr="004D1094">
        <w:rPr>
          <w:sz w:val="20"/>
          <w:lang w:val="en-GB"/>
        </w:rPr>
        <w:fldChar w:fldCharType="begin"/>
      </w:r>
      <w:r w:rsidR="00D205F2" w:rsidRPr="004D1094">
        <w:rPr>
          <w:sz w:val="20"/>
          <w:lang w:val="en-GB"/>
        </w:rPr>
        <w:instrText xml:space="preserve"> REF _Ref456774012 \r \h </w:instrText>
      </w:r>
      <w:r w:rsidR="00D205F2" w:rsidRPr="004D1094">
        <w:rPr>
          <w:sz w:val="20"/>
          <w:lang w:val="en-GB"/>
        </w:rPr>
      </w:r>
      <w:r w:rsidR="00D205F2" w:rsidRPr="004D1094">
        <w:rPr>
          <w:sz w:val="20"/>
          <w:lang w:val="en-GB"/>
        </w:rPr>
        <w:fldChar w:fldCharType="separate"/>
      </w:r>
      <w:r w:rsidR="00650C3B">
        <w:rPr>
          <w:sz w:val="20"/>
          <w:lang w:val="en-GB"/>
        </w:rPr>
        <w:t>[4]</w:t>
      </w:r>
      <w:r w:rsidR="00D205F2" w:rsidRPr="004D1094">
        <w:rPr>
          <w:sz w:val="20"/>
          <w:lang w:val="en-GB"/>
        </w:rPr>
        <w:fldChar w:fldCharType="end"/>
      </w:r>
      <w:r w:rsidRPr="004D1094">
        <w:rPr>
          <w:sz w:val="20"/>
          <w:lang w:val="en-GB"/>
        </w:rPr>
        <w:t>.</w:t>
      </w:r>
      <w:r w:rsidR="004F66EF" w:rsidRPr="004D1094">
        <w:rPr>
          <w:sz w:val="20"/>
          <w:lang w:val="en-GB"/>
        </w:rPr>
        <w:t xml:space="preserve"> </w:t>
      </w:r>
      <w:r w:rsidRPr="004D1094">
        <w:rPr>
          <w:sz w:val="20"/>
          <w:lang w:val="en-GB"/>
        </w:rPr>
        <w:t xml:space="preserve">Unfortunately this equipment is not readily </w:t>
      </w:r>
      <w:r w:rsidRPr="005251CB">
        <w:rPr>
          <w:sz w:val="20"/>
          <w:lang w:val="en-GB"/>
        </w:rPr>
        <w:lastRenderedPageBreak/>
        <w:t xml:space="preserve">available. If a different engine or different operating conditions are employed the results are </w:t>
      </w:r>
      <w:r w:rsidR="00C922F0" w:rsidRPr="005251CB">
        <w:rPr>
          <w:sz w:val="20"/>
          <w:lang w:val="en-GB"/>
        </w:rPr>
        <w:t>d</w:t>
      </w:r>
      <w:r w:rsidRPr="005251CB">
        <w:rPr>
          <w:sz w:val="20"/>
          <w:lang w:val="en-GB"/>
        </w:rPr>
        <w:t xml:space="preserve">ifferent. </w:t>
      </w:r>
      <w:r w:rsidR="00C922F0" w:rsidRPr="005251CB">
        <w:rPr>
          <w:sz w:val="20"/>
          <w:lang w:val="en-GB"/>
        </w:rPr>
        <w:t>In order to make the results comparable the so-</w:t>
      </w:r>
      <w:r w:rsidRPr="005251CB">
        <w:rPr>
          <w:sz w:val="20"/>
          <w:lang w:val="en-GB"/>
        </w:rPr>
        <w:t xml:space="preserve">called </w:t>
      </w:r>
      <w:r w:rsidR="008E5C0C" w:rsidRPr="005251CB">
        <w:rPr>
          <w:sz w:val="20"/>
          <w:lang w:val="en-GB"/>
        </w:rPr>
        <w:t>service m</w:t>
      </w:r>
      <w:r w:rsidRPr="005251CB">
        <w:rPr>
          <w:sz w:val="20"/>
          <w:lang w:val="en-GB"/>
        </w:rPr>
        <w:t xml:space="preserve">ethane </w:t>
      </w:r>
      <w:r w:rsidR="008E5C0C" w:rsidRPr="005251CB">
        <w:rPr>
          <w:sz w:val="20"/>
          <w:lang w:val="en-GB"/>
        </w:rPr>
        <w:t>n</w:t>
      </w:r>
      <w:r w:rsidRPr="005251CB">
        <w:rPr>
          <w:sz w:val="20"/>
          <w:lang w:val="en-GB"/>
        </w:rPr>
        <w:t>umber (SMN)</w:t>
      </w:r>
      <w:r w:rsidR="00C922F0" w:rsidRPr="005251CB">
        <w:rPr>
          <w:lang w:val="en-GB"/>
        </w:rPr>
        <w:t xml:space="preserve"> </w:t>
      </w:r>
      <w:r w:rsidR="00C922F0" w:rsidRPr="005251CB">
        <w:rPr>
          <w:sz w:val="20"/>
          <w:lang w:val="en-GB"/>
        </w:rPr>
        <w:t>has been introduced</w:t>
      </w:r>
      <w:r w:rsidRPr="005251CB">
        <w:rPr>
          <w:sz w:val="20"/>
          <w:lang w:val="en-GB"/>
        </w:rPr>
        <w:t xml:space="preserve">. The SMN of a gas is defined as the percentage of </w:t>
      </w:r>
      <w:r w:rsidR="00361E01" w:rsidRPr="005251CB">
        <w:rPr>
          <w:sz w:val="20"/>
          <w:lang w:val="en-GB"/>
        </w:rPr>
        <w:t>m</w:t>
      </w:r>
      <w:r w:rsidRPr="005251CB">
        <w:rPr>
          <w:sz w:val="20"/>
          <w:lang w:val="en-GB"/>
        </w:rPr>
        <w:t xml:space="preserve">ethane in a mixture of </w:t>
      </w:r>
      <w:r w:rsidR="00361E01" w:rsidRPr="005251CB">
        <w:rPr>
          <w:sz w:val="20"/>
          <w:lang w:val="en-GB"/>
        </w:rPr>
        <w:t>methane and h</w:t>
      </w:r>
      <w:r w:rsidRPr="005251CB">
        <w:rPr>
          <w:sz w:val="20"/>
          <w:lang w:val="en-GB"/>
        </w:rPr>
        <w:t xml:space="preserve">ydrogen which has the same knocking behaviour as the gas to be investigated in an arbitrary engine under arbitrary </w:t>
      </w:r>
      <w:r w:rsidRPr="004D1094">
        <w:rPr>
          <w:sz w:val="20"/>
          <w:lang w:val="en-GB"/>
        </w:rPr>
        <w:t>operating conditions. The SMN shows the same tendencies as the MN, but different absolute values. Depending on the boundary conditions chosen</w:t>
      </w:r>
      <w:r w:rsidR="00A24B24" w:rsidRPr="004D1094">
        <w:rPr>
          <w:sz w:val="20"/>
          <w:lang w:val="en-GB"/>
        </w:rPr>
        <w:t>,</w:t>
      </w:r>
      <w:r w:rsidRPr="004D1094">
        <w:rPr>
          <w:sz w:val="20"/>
          <w:lang w:val="en-GB"/>
        </w:rPr>
        <w:t xml:space="preserve"> the correlation between SMN and MN can be nearly linear. To determine the correlation between SMN and MN for the test engines to be used in this project a range of gases the MN of which is known from the work of AVL is measured. To determine the knock propensity the number of knocking events a defined operating point is compared to a calibration curve of methane hydrogen mixtures at the same operating point. On the other hand the operating point at which knocking starts to occur is compared. Subsequently a matrix of typical LNG mixtures </w:t>
      </w:r>
      <w:r w:rsidR="00C35B91" w:rsidRPr="004D1094">
        <w:rPr>
          <w:sz w:val="20"/>
          <w:lang w:val="en-GB"/>
        </w:rPr>
        <w:t>will be</w:t>
      </w:r>
      <w:r w:rsidRPr="004D1094">
        <w:rPr>
          <w:sz w:val="20"/>
          <w:lang w:val="en-GB"/>
        </w:rPr>
        <w:t xml:space="preserve"> investigated to determine the dependence of the SMN on the composition.</w:t>
      </w:r>
    </w:p>
    <w:p w:rsidR="00BA6838" w:rsidRPr="004D1094" w:rsidRDefault="00BA6838" w:rsidP="00BA6838">
      <w:pPr>
        <w:jc w:val="both"/>
        <w:rPr>
          <w:sz w:val="16"/>
          <w:szCs w:val="16"/>
          <w:lang w:val="en-GB"/>
        </w:rPr>
      </w:pPr>
    </w:p>
    <w:p w:rsidR="00C35B91" w:rsidRPr="004D1094" w:rsidRDefault="001B2F81" w:rsidP="00C35B91">
      <w:pPr>
        <w:pStyle w:val="Brdtext"/>
        <w:keepNext/>
        <w:rPr>
          <w:lang w:val="en-GB"/>
        </w:rPr>
      </w:pPr>
      <w:r w:rsidRPr="004D1094">
        <w:rPr>
          <w:noProof/>
          <w:lang w:val="sv-SE" w:eastAsia="sv-SE"/>
        </w:rPr>
        <w:drawing>
          <wp:inline distT="0" distB="0" distL="0" distR="0" wp14:anchorId="7D7A5AB3" wp14:editId="59F69364">
            <wp:extent cx="2880000" cy="15901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80000" cy="1590145"/>
                    </a:xfrm>
                    <a:prstGeom prst="rect">
                      <a:avLst/>
                    </a:prstGeom>
                    <a:noFill/>
                  </pic:spPr>
                </pic:pic>
              </a:graphicData>
            </a:graphic>
          </wp:inline>
        </w:drawing>
      </w:r>
    </w:p>
    <w:p w:rsidR="001B2F81" w:rsidRPr="004D1094" w:rsidRDefault="00C35B91" w:rsidP="001B2F81">
      <w:pPr>
        <w:pStyle w:val="Beskrivning"/>
        <w:rPr>
          <w:lang w:val="en-GB"/>
        </w:rPr>
      </w:pPr>
      <w:bookmarkStart w:id="4" w:name="_Ref456868970"/>
      <w:r w:rsidRPr="004D1094">
        <w:rPr>
          <w:lang w:val="en-GB"/>
        </w:rPr>
        <w:t xml:space="preserve">Figure </w:t>
      </w:r>
      <w:r w:rsidRPr="004D1094">
        <w:rPr>
          <w:lang w:val="en-GB"/>
        </w:rPr>
        <w:fldChar w:fldCharType="begin"/>
      </w:r>
      <w:r w:rsidRPr="004D1094">
        <w:rPr>
          <w:lang w:val="en-GB"/>
        </w:rPr>
        <w:instrText xml:space="preserve"> SEQ Figur \* ARABIC </w:instrText>
      </w:r>
      <w:r w:rsidRPr="004D1094">
        <w:rPr>
          <w:lang w:val="en-GB"/>
        </w:rPr>
        <w:fldChar w:fldCharType="separate"/>
      </w:r>
      <w:r w:rsidR="00650C3B">
        <w:rPr>
          <w:noProof/>
          <w:lang w:val="en-GB"/>
        </w:rPr>
        <w:t>3</w:t>
      </w:r>
      <w:r w:rsidRPr="004D1094">
        <w:rPr>
          <w:lang w:val="en-GB"/>
        </w:rPr>
        <w:fldChar w:fldCharType="end"/>
      </w:r>
      <w:bookmarkEnd w:id="4"/>
      <w:r w:rsidRPr="004D1094">
        <w:rPr>
          <w:lang w:val="en-GB"/>
        </w:rPr>
        <w:t xml:space="preserve"> – </w:t>
      </w:r>
      <w:r w:rsidR="00D83BE7" w:rsidRPr="004D1094">
        <w:rPr>
          <w:lang w:val="en-GB"/>
        </w:rPr>
        <w:t>Rapid Compression Machine (RCM)</w:t>
      </w:r>
      <w:r w:rsidR="00D20435" w:rsidRPr="004D1094">
        <w:rPr>
          <w:lang w:val="en-GB"/>
        </w:rPr>
        <w:t>.</w:t>
      </w:r>
    </w:p>
    <w:p w:rsidR="00604AD1" w:rsidRPr="004D1094" w:rsidRDefault="002929C6" w:rsidP="00DB37A7">
      <w:pPr>
        <w:jc w:val="both"/>
        <w:rPr>
          <w:i/>
          <w:sz w:val="20"/>
          <w:lang w:val="en-GB"/>
        </w:rPr>
      </w:pPr>
      <w:r w:rsidRPr="004D1094">
        <w:rPr>
          <w:i/>
          <w:sz w:val="20"/>
          <w:lang w:val="en-GB"/>
        </w:rPr>
        <w:t>5</w:t>
      </w:r>
      <w:r w:rsidR="00604AD1" w:rsidRPr="004D1094">
        <w:rPr>
          <w:i/>
          <w:sz w:val="20"/>
          <w:lang w:val="en-GB"/>
        </w:rPr>
        <w:t xml:space="preserve">.3 </w:t>
      </w:r>
      <w:r w:rsidR="00897D08" w:rsidRPr="004D1094">
        <w:rPr>
          <w:i/>
          <w:sz w:val="20"/>
          <w:lang w:val="en-GB"/>
        </w:rPr>
        <w:t>Ignition delay time measurements</w:t>
      </w:r>
    </w:p>
    <w:p w:rsidR="00116CE9" w:rsidRPr="004D1094" w:rsidRDefault="0093243F" w:rsidP="003F006A">
      <w:pPr>
        <w:jc w:val="both"/>
        <w:rPr>
          <w:sz w:val="20"/>
          <w:lang w:val="en-GB"/>
        </w:rPr>
      </w:pPr>
      <w:r w:rsidRPr="004D1094">
        <w:rPr>
          <w:sz w:val="20"/>
          <w:lang w:val="en-GB"/>
        </w:rPr>
        <w:t>One important property of a gas mixture related to knock is the ignition delay time. The ignition delay time is the time between the point where a mixture of combustible gas and oxidizer reaches temperature and pressure conditions under which it is possible to ignite and the actual ignition event. The shorter the ignition delay time the higher the knock propensity of the mixture as hot surfaces for instance can lead to autoignition events before the ignition by the spark. Therefore the same mixtures measured in the engine experiments are measured in a rapid compression machine</w:t>
      </w:r>
      <w:r w:rsidR="00C35B91" w:rsidRPr="004D1094">
        <w:rPr>
          <w:sz w:val="20"/>
          <w:lang w:val="en-GB"/>
        </w:rPr>
        <w:t xml:space="preserve"> (see </w:t>
      </w:r>
      <w:r w:rsidR="00C35B91" w:rsidRPr="004D1094">
        <w:rPr>
          <w:b/>
          <w:sz w:val="20"/>
          <w:lang w:val="en-GB"/>
        </w:rPr>
        <w:fldChar w:fldCharType="begin"/>
      </w:r>
      <w:r w:rsidR="00C35B91" w:rsidRPr="004D1094">
        <w:rPr>
          <w:b/>
          <w:sz w:val="20"/>
          <w:lang w:val="en-GB"/>
        </w:rPr>
        <w:instrText xml:space="preserve"> REF _Ref456868970 \h  \* MERGEFORMAT </w:instrText>
      </w:r>
      <w:r w:rsidR="00C35B91" w:rsidRPr="004D1094">
        <w:rPr>
          <w:b/>
          <w:sz w:val="20"/>
          <w:lang w:val="en-GB"/>
        </w:rPr>
      </w:r>
      <w:r w:rsidR="00C35B91" w:rsidRPr="004D1094">
        <w:rPr>
          <w:b/>
          <w:sz w:val="20"/>
          <w:lang w:val="en-GB"/>
        </w:rPr>
        <w:fldChar w:fldCharType="separate"/>
      </w:r>
      <w:r w:rsidR="00650C3B" w:rsidRPr="00650C3B">
        <w:rPr>
          <w:b/>
          <w:sz w:val="20"/>
          <w:lang w:val="en-GB"/>
        </w:rPr>
        <w:t xml:space="preserve">Figure </w:t>
      </w:r>
      <w:r w:rsidR="00650C3B" w:rsidRPr="00650C3B">
        <w:rPr>
          <w:b/>
          <w:noProof/>
          <w:sz w:val="20"/>
          <w:lang w:val="en-GB"/>
        </w:rPr>
        <w:t>3</w:t>
      </w:r>
      <w:r w:rsidR="00C35B91" w:rsidRPr="004D1094">
        <w:rPr>
          <w:b/>
          <w:sz w:val="20"/>
          <w:lang w:val="en-GB"/>
        </w:rPr>
        <w:fldChar w:fldCharType="end"/>
      </w:r>
      <w:r w:rsidR="00C35B91" w:rsidRPr="004D1094">
        <w:rPr>
          <w:sz w:val="20"/>
          <w:lang w:val="en-GB"/>
        </w:rPr>
        <w:t xml:space="preserve">) </w:t>
      </w:r>
      <w:r w:rsidRPr="004D1094">
        <w:rPr>
          <w:sz w:val="20"/>
          <w:lang w:val="en-GB"/>
        </w:rPr>
        <w:t>which is basically a single stroke single cylinder engine capable of reaching much defined pressure and temperature conditions very quickly in order to enable the accurate measurement of the ignition delay time. The results can then be used to crosscheck the engine experiments and the calculating algorithm for the MN.</w:t>
      </w:r>
    </w:p>
    <w:p w:rsidR="00E30FE3" w:rsidRPr="004D1094" w:rsidRDefault="00E30FE3" w:rsidP="003F006A">
      <w:pPr>
        <w:jc w:val="both"/>
        <w:rPr>
          <w:sz w:val="20"/>
          <w:lang w:val="en-GB"/>
        </w:rPr>
      </w:pPr>
    </w:p>
    <w:p w:rsidR="003F006A" w:rsidRPr="004D1094" w:rsidRDefault="007E1DD1" w:rsidP="003F006A">
      <w:pPr>
        <w:jc w:val="both"/>
        <w:rPr>
          <w:sz w:val="20"/>
          <w:lang w:val="en-GB"/>
        </w:rPr>
      </w:pPr>
      <w:r w:rsidRPr="004D1094">
        <w:rPr>
          <w:sz w:val="20"/>
          <w:lang w:val="en-GB"/>
        </w:rPr>
        <w:t>As a next step in this work</w:t>
      </w:r>
      <w:r w:rsidR="00182880" w:rsidRPr="004D1094">
        <w:rPr>
          <w:sz w:val="20"/>
          <w:lang w:val="en-GB"/>
        </w:rPr>
        <w:t>,</w:t>
      </w:r>
      <w:r w:rsidRPr="004D1094">
        <w:rPr>
          <w:sz w:val="20"/>
          <w:lang w:val="en-GB"/>
        </w:rPr>
        <w:t xml:space="preserve"> the experimental data from the engine and ignition delay time measurements </w:t>
      </w:r>
      <w:r w:rsidR="00B22BA7" w:rsidRPr="004D1094">
        <w:rPr>
          <w:sz w:val="20"/>
          <w:lang w:val="en-GB"/>
        </w:rPr>
        <w:t>can</w:t>
      </w:r>
      <w:r w:rsidR="00182880" w:rsidRPr="004D1094">
        <w:rPr>
          <w:sz w:val="20"/>
          <w:lang w:val="en-GB"/>
        </w:rPr>
        <w:t xml:space="preserve"> </w:t>
      </w:r>
      <w:r w:rsidRPr="004D1094">
        <w:rPr>
          <w:sz w:val="20"/>
          <w:lang w:val="en-GB"/>
        </w:rPr>
        <w:t>be used as feedback to modify the algorithm and investigate the effect of higher hydrocarbons on the knocking resistance</w:t>
      </w:r>
      <w:r w:rsidR="00C10CFF" w:rsidRPr="004D1094">
        <w:rPr>
          <w:sz w:val="20"/>
          <w:lang w:val="en-GB"/>
        </w:rPr>
        <w:t>.</w:t>
      </w:r>
    </w:p>
    <w:p w:rsidR="002B3463" w:rsidRPr="004D1094" w:rsidRDefault="002B3463">
      <w:pPr>
        <w:rPr>
          <w:sz w:val="20"/>
          <w:lang w:val="en-GB"/>
        </w:rPr>
      </w:pPr>
      <w:r w:rsidRPr="004D1094">
        <w:rPr>
          <w:sz w:val="20"/>
          <w:lang w:val="en-GB"/>
        </w:rPr>
        <w:br w:type="page"/>
      </w:r>
    </w:p>
    <w:p w:rsidR="00914BD1" w:rsidRPr="004D1094" w:rsidRDefault="002929C6" w:rsidP="00BD44EE">
      <w:pPr>
        <w:pStyle w:val="Rubrik1"/>
        <w:rPr>
          <w:lang w:val="en-GB"/>
        </w:rPr>
      </w:pPr>
      <w:r w:rsidRPr="004D1094">
        <w:rPr>
          <w:lang w:val="en-GB"/>
        </w:rPr>
        <w:lastRenderedPageBreak/>
        <w:t>6</w:t>
      </w:r>
      <w:r w:rsidR="00C84E7C" w:rsidRPr="004D1094">
        <w:rPr>
          <w:lang w:val="en-GB"/>
        </w:rPr>
        <w:t xml:space="preserve">. </w:t>
      </w:r>
      <w:r w:rsidR="001012F2" w:rsidRPr="004D1094">
        <w:rPr>
          <w:lang w:val="en-GB"/>
        </w:rPr>
        <w:t>Density, Enthalpy and Calorific Value</w:t>
      </w:r>
    </w:p>
    <w:p w:rsidR="007936B3" w:rsidRPr="004D1094" w:rsidRDefault="007936B3" w:rsidP="007936B3">
      <w:pPr>
        <w:rPr>
          <w:sz w:val="20"/>
          <w:lang w:val="en-GB"/>
        </w:rPr>
      </w:pPr>
    </w:p>
    <w:p w:rsidR="00BD44EE" w:rsidRPr="004D1094" w:rsidRDefault="00F9345A" w:rsidP="00BD44EE">
      <w:pPr>
        <w:jc w:val="both"/>
        <w:rPr>
          <w:sz w:val="20"/>
          <w:lang w:val="en-GB"/>
        </w:rPr>
      </w:pPr>
      <w:r w:rsidRPr="004D1094">
        <w:rPr>
          <w:sz w:val="20"/>
          <w:lang w:val="en-GB"/>
        </w:rPr>
        <w:t>Besides volume determination, reliable LNG density and energy per mass (calorific value) predictions with small uncertainties are a prerequisite for the custody transfer of energy. Therefore, the aim of this work package, which consists of 4 tasks, is to measure LNG densities at the Ruhr-University Bochum (RUB) and at the national metrology institute of Italy (</w:t>
      </w:r>
      <w:proofErr w:type="spellStart"/>
      <w:r w:rsidRPr="004D1094">
        <w:rPr>
          <w:sz w:val="20"/>
          <w:lang w:val="en-GB"/>
        </w:rPr>
        <w:t>INRiM</w:t>
      </w:r>
      <w:proofErr w:type="spellEnd"/>
      <w:r w:rsidRPr="004D1094">
        <w:rPr>
          <w:sz w:val="20"/>
          <w:lang w:val="en-GB"/>
        </w:rPr>
        <w:t>) in order to provide an improved model for LNG density prediction. Uncertainties and the traceability of enthalpy and calorific-value calculations will be examined by the national metrology institute of Germany (PTB).</w:t>
      </w:r>
    </w:p>
    <w:p w:rsidR="00BD44EE" w:rsidRPr="004D1094" w:rsidRDefault="00BD44EE" w:rsidP="00BD44EE">
      <w:pPr>
        <w:jc w:val="both"/>
        <w:rPr>
          <w:sz w:val="20"/>
          <w:lang w:val="en-GB"/>
        </w:rPr>
      </w:pPr>
    </w:p>
    <w:p w:rsidR="00CC29A2" w:rsidRPr="004D1094" w:rsidRDefault="00640DE4" w:rsidP="00CC29A2">
      <w:pPr>
        <w:jc w:val="both"/>
        <w:rPr>
          <w:i/>
          <w:sz w:val="20"/>
          <w:lang w:val="en-GB"/>
        </w:rPr>
      </w:pPr>
      <w:r w:rsidRPr="004D1094">
        <w:rPr>
          <w:i/>
          <w:sz w:val="20"/>
          <w:lang w:val="en-GB"/>
        </w:rPr>
        <w:t>6</w:t>
      </w:r>
      <w:r w:rsidR="00CC29A2" w:rsidRPr="004D1094">
        <w:rPr>
          <w:i/>
          <w:sz w:val="20"/>
          <w:lang w:val="en-GB"/>
        </w:rPr>
        <w:t>.1 LNG density measurements using single-sinker den</w:t>
      </w:r>
      <w:r w:rsidR="00CC29A2" w:rsidRPr="004D1094">
        <w:rPr>
          <w:i/>
          <w:sz w:val="20"/>
          <w:lang w:val="en-GB"/>
        </w:rPr>
        <w:softHyphen/>
        <w:t>simeter based on the Archimedes (buoyancy) principle</w:t>
      </w:r>
    </w:p>
    <w:p w:rsidR="00F9345A" w:rsidRPr="004D1094" w:rsidRDefault="00CC29A2" w:rsidP="00CC29A2">
      <w:pPr>
        <w:jc w:val="both"/>
        <w:rPr>
          <w:sz w:val="20"/>
          <w:lang w:val="en-GB"/>
        </w:rPr>
      </w:pPr>
      <w:r w:rsidRPr="004D1094">
        <w:rPr>
          <w:sz w:val="20"/>
          <w:lang w:val="en-GB"/>
        </w:rPr>
        <w:t>An LNG densimeter was developed at RUB, based on the well-known single-sinker density measurement principle in conjunction with a magnetic suspension coupling. This principle was combined with a special VLE-cell allowing for liquid-density measurements at cryogenic temperatures without changing the compo</w:t>
      </w:r>
      <w:r w:rsidRPr="004D1094">
        <w:rPr>
          <w:sz w:val="20"/>
          <w:lang w:val="en-GB"/>
        </w:rPr>
        <w:softHyphen/>
        <w:t>sition of the liquid phase. In combination with a new way of operating the apparatus (e.g., supercritical filling), this feature enables measurements, which are much less affected by measurement uncertainties of the liquid-phase composition than measurements with other previous systems. After minimization of a well-known distorting effect – the force-transmission error of the magnetic suspension coupling – density measurements in the homogeneous liquid region of cryogenic liquid mixtures can be carried out with relative combined expanded uncertainties of 0.044% (</w:t>
      </w:r>
      <w:r w:rsidRPr="004D1094">
        <w:rPr>
          <w:i/>
          <w:sz w:val="20"/>
          <w:lang w:val="en-GB"/>
        </w:rPr>
        <w:t>k</w:t>
      </w:r>
      <w:r w:rsidRPr="004D1094">
        <w:rPr>
          <w:sz w:val="20"/>
          <w:lang w:val="en-GB"/>
        </w:rPr>
        <w:t xml:space="preserve">=2) </w:t>
      </w:r>
      <w:r w:rsidRPr="004D1094">
        <w:rPr>
          <w:sz w:val="20"/>
          <w:lang w:val="en-GB"/>
        </w:rPr>
        <w:fldChar w:fldCharType="begin"/>
      </w:r>
      <w:r w:rsidRPr="004D1094">
        <w:rPr>
          <w:sz w:val="20"/>
          <w:lang w:val="en-GB"/>
        </w:rPr>
        <w:instrText xml:space="preserve"> REF _Ref456774137 \r \h  \* MERGEFORMAT </w:instrText>
      </w:r>
      <w:r w:rsidRPr="004D1094">
        <w:rPr>
          <w:sz w:val="20"/>
          <w:lang w:val="en-GB"/>
        </w:rPr>
      </w:r>
      <w:r w:rsidRPr="004D1094">
        <w:rPr>
          <w:sz w:val="20"/>
          <w:lang w:val="en-GB"/>
        </w:rPr>
        <w:fldChar w:fldCharType="separate"/>
      </w:r>
      <w:r w:rsidR="00650C3B">
        <w:rPr>
          <w:sz w:val="20"/>
          <w:lang w:val="en-GB"/>
        </w:rPr>
        <w:t>[7]</w:t>
      </w:r>
      <w:r w:rsidRPr="004D1094">
        <w:rPr>
          <w:sz w:val="20"/>
          <w:lang w:val="en-GB"/>
        </w:rPr>
        <w:fldChar w:fldCharType="end"/>
      </w:r>
      <w:r w:rsidRPr="004D1094">
        <w:rPr>
          <w:sz w:val="20"/>
          <w:lang w:val="en-GB"/>
        </w:rPr>
        <w:t xml:space="preserve">. Currently, the densimeter is being deliberately revised to reduce the uncertainty to a value less or equal to 0.030%. The detailed design of the core apparatus of the new densimeter is shown by a sectional drawing </w:t>
      </w:r>
      <w:r w:rsidR="00F9345A" w:rsidRPr="004D1094">
        <w:rPr>
          <w:sz w:val="20"/>
          <w:lang w:val="en-GB"/>
        </w:rPr>
        <w:t xml:space="preserve">in </w:t>
      </w:r>
      <w:r w:rsidR="00F9345A" w:rsidRPr="004D1094">
        <w:rPr>
          <w:b/>
          <w:sz w:val="20"/>
          <w:lang w:val="en-GB"/>
        </w:rPr>
        <w:fldChar w:fldCharType="begin"/>
      </w:r>
      <w:r w:rsidR="00F9345A" w:rsidRPr="004D1094">
        <w:rPr>
          <w:b/>
          <w:sz w:val="20"/>
          <w:lang w:val="en-GB"/>
        </w:rPr>
        <w:instrText xml:space="preserve"> REF _Ref456708297 \h  \* MERGEFORMAT </w:instrText>
      </w:r>
      <w:r w:rsidR="00F9345A" w:rsidRPr="004D1094">
        <w:rPr>
          <w:b/>
          <w:sz w:val="20"/>
          <w:lang w:val="en-GB"/>
        </w:rPr>
      </w:r>
      <w:r w:rsidR="00F9345A" w:rsidRPr="004D1094">
        <w:rPr>
          <w:b/>
          <w:sz w:val="20"/>
          <w:lang w:val="en-GB"/>
        </w:rPr>
        <w:fldChar w:fldCharType="separate"/>
      </w:r>
      <w:r w:rsidR="00650C3B" w:rsidRPr="00650C3B">
        <w:rPr>
          <w:b/>
          <w:sz w:val="20"/>
          <w:lang w:val="en-GB"/>
        </w:rPr>
        <w:t xml:space="preserve">Figure </w:t>
      </w:r>
      <w:r w:rsidR="00650C3B" w:rsidRPr="00650C3B">
        <w:rPr>
          <w:b/>
          <w:noProof/>
          <w:sz w:val="20"/>
          <w:lang w:val="en-GB"/>
        </w:rPr>
        <w:t>4</w:t>
      </w:r>
      <w:r w:rsidR="00F9345A" w:rsidRPr="004D1094">
        <w:rPr>
          <w:b/>
          <w:sz w:val="20"/>
          <w:lang w:val="en-GB"/>
        </w:rPr>
        <w:fldChar w:fldCharType="end"/>
      </w:r>
      <w:r w:rsidR="00F9345A" w:rsidRPr="004D1094">
        <w:rPr>
          <w:sz w:val="20"/>
          <w:lang w:val="en-GB"/>
        </w:rPr>
        <w:t>.</w:t>
      </w:r>
    </w:p>
    <w:p w:rsidR="00184E0A" w:rsidRPr="004D1094" w:rsidRDefault="00184E0A" w:rsidP="00184E0A">
      <w:pPr>
        <w:jc w:val="both"/>
        <w:rPr>
          <w:sz w:val="16"/>
          <w:szCs w:val="16"/>
          <w:lang w:val="en-GB"/>
        </w:rPr>
      </w:pPr>
    </w:p>
    <w:p w:rsidR="00F81CE5" w:rsidRPr="004D1094" w:rsidRDefault="00707FC6" w:rsidP="00BD44EE">
      <w:pPr>
        <w:pStyle w:val="Brdtext"/>
        <w:keepNext/>
        <w:jc w:val="center"/>
        <w:rPr>
          <w:lang w:val="en-GB"/>
        </w:rPr>
      </w:pPr>
      <w:r w:rsidRPr="004D1094">
        <w:rPr>
          <w:noProof/>
          <w:lang w:val="sv-SE" w:eastAsia="sv-SE"/>
        </w:rPr>
        <w:drawing>
          <wp:inline distT="0" distB="0" distL="0" distR="0" wp14:anchorId="638141A9" wp14:editId="70C0E488">
            <wp:extent cx="2700000" cy="3380950"/>
            <wp:effectExtent l="0" t="0" r="571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3380950"/>
                    </a:xfrm>
                    <a:prstGeom prst="rect">
                      <a:avLst/>
                    </a:prstGeom>
                    <a:noFill/>
                  </pic:spPr>
                </pic:pic>
              </a:graphicData>
            </a:graphic>
          </wp:inline>
        </w:drawing>
      </w:r>
    </w:p>
    <w:p w:rsidR="00F81CE5" w:rsidRPr="004D1094" w:rsidRDefault="00F81CE5" w:rsidP="00467B3B">
      <w:pPr>
        <w:pStyle w:val="Beskrivning"/>
        <w:rPr>
          <w:szCs w:val="16"/>
          <w:lang w:val="en-GB"/>
        </w:rPr>
      </w:pPr>
      <w:bookmarkStart w:id="5" w:name="_Ref456708297"/>
      <w:r w:rsidRPr="004D1094">
        <w:rPr>
          <w:szCs w:val="16"/>
          <w:lang w:val="en-GB"/>
        </w:rPr>
        <w:t>Figur</w:t>
      </w:r>
      <w:r w:rsidR="00D83BE7" w:rsidRPr="004D1094">
        <w:rPr>
          <w:szCs w:val="16"/>
          <w:lang w:val="en-GB"/>
        </w:rPr>
        <w:t>e</w:t>
      </w:r>
      <w:r w:rsidRPr="004D1094">
        <w:rPr>
          <w:szCs w:val="16"/>
          <w:lang w:val="en-GB"/>
        </w:rPr>
        <w:t xml:space="preserve"> </w:t>
      </w:r>
      <w:r w:rsidRPr="004D1094">
        <w:rPr>
          <w:szCs w:val="16"/>
          <w:lang w:val="en-GB"/>
        </w:rPr>
        <w:fldChar w:fldCharType="begin"/>
      </w:r>
      <w:r w:rsidRPr="004D1094">
        <w:rPr>
          <w:szCs w:val="16"/>
          <w:lang w:val="en-GB"/>
        </w:rPr>
        <w:instrText xml:space="preserve"> SEQ Figur \* ARABIC </w:instrText>
      </w:r>
      <w:r w:rsidRPr="004D1094">
        <w:rPr>
          <w:szCs w:val="16"/>
          <w:lang w:val="en-GB"/>
        </w:rPr>
        <w:fldChar w:fldCharType="separate"/>
      </w:r>
      <w:r w:rsidR="00650C3B">
        <w:rPr>
          <w:noProof/>
          <w:szCs w:val="16"/>
          <w:lang w:val="en-GB"/>
        </w:rPr>
        <w:t>4</w:t>
      </w:r>
      <w:r w:rsidRPr="004D1094">
        <w:rPr>
          <w:szCs w:val="16"/>
          <w:lang w:val="en-GB"/>
        </w:rPr>
        <w:fldChar w:fldCharType="end"/>
      </w:r>
      <w:bookmarkEnd w:id="5"/>
      <w:r w:rsidRPr="004D1094">
        <w:rPr>
          <w:szCs w:val="16"/>
          <w:lang w:val="en-GB"/>
        </w:rPr>
        <w:t xml:space="preserve"> –</w:t>
      </w:r>
      <w:r w:rsidR="00467B3B" w:rsidRPr="004D1094">
        <w:rPr>
          <w:szCs w:val="16"/>
          <w:lang w:val="en-GB"/>
        </w:rPr>
        <w:t xml:space="preserve"> </w:t>
      </w:r>
      <w:r w:rsidR="00635745" w:rsidRPr="004D1094">
        <w:rPr>
          <w:szCs w:val="16"/>
          <w:lang w:val="en-GB"/>
        </w:rPr>
        <w:t>Schematic diagram of the core apparatus of the densimeter for cryogenic liquid mixtures</w:t>
      </w:r>
      <w:r w:rsidR="00D20435" w:rsidRPr="004D1094">
        <w:rPr>
          <w:szCs w:val="16"/>
          <w:lang w:val="en-GB"/>
        </w:rPr>
        <w:t>.</w:t>
      </w:r>
    </w:p>
    <w:p w:rsidR="002716BB" w:rsidRPr="004D1094" w:rsidRDefault="002716BB" w:rsidP="002716BB">
      <w:pPr>
        <w:pStyle w:val="Brdtext"/>
        <w:keepNext/>
        <w:rPr>
          <w:lang w:val="en-GB"/>
        </w:rPr>
      </w:pPr>
      <w:r w:rsidRPr="004D1094">
        <w:rPr>
          <w:lang w:val="en-GB"/>
        </w:rPr>
        <w:lastRenderedPageBreak/>
        <w:t xml:space="preserve">Densities of six different synthetic LNG mixtures were measured over a temperature range from 105 to 135 K at pressures up to 9 MPa. The measurements include saturated liquid densities and homogeneous liquid states as well as supercritical states. The maximum relative deviations of the measured LNG densities from values calculated with the GERG-2008 EOS </w:t>
      </w:r>
      <w:r w:rsidRPr="004D1094">
        <w:rPr>
          <w:lang w:val="en-GB"/>
        </w:rPr>
        <w:fldChar w:fldCharType="begin"/>
      </w:r>
      <w:r w:rsidRPr="004D1094">
        <w:rPr>
          <w:lang w:val="en-GB"/>
        </w:rPr>
        <w:instrText xml:space="preserve"> REF _Ref456774154 \r \h </w:instrText>
      </w:r>
      <w:r w:rsidRPr="004D1094">
        <w:rPr>
          <w:lang w:val="en-GB"/>
        </w:rPr>
      </w:r>
      <w:r w:rsidRPr="004D1094">
        <w:rPr>
          <w:lang w:val="en-GB"/>
        </w:rPr>
        <w:fldChar w:fldCharType="separate"/>
      </w:r>
      <w:r w:rsidR="00650C3B">
        <w:rPr>
          <w:lang w:val="en-GB"/>
        </w:rPr>
        <w:t>[8]</w:t>
      </w:r>
      <w:r w:rsidRPr="004D1094">
        <w:rPr>
          <w:lang w:val="en-GB"/>
        </w:rPr>
        <w:fldChar w:fldCharType="end"/>
      </w:r>
      <w:r w:rsidRPr="004D1094">
        <w:rPr>
          <w:lang w:val="en-GB"/>
        </w:rPr>
        <w:t xml:space="preserve"> are between +0.05% and +0.22%, and the experimental saturated liquid densities agree well with the GERG-2008 EOS, in most cases even better with the “Revised Klosek and McKinley Method” (RKM).</w:t>
      </w:r>
    </w:p>
    <w:p w:rsidR="002716BB" w:rsidRPr="004D1094" w:rsidRDefault="002716BB" w:rsidP="002716BB">
      <w:pPr>
        <w:pStyle w:val="Brdtext"/>
        <w:keepNext/>
        <w:rPr>
          <w:lang w:val="en-GB"/>
        </w:rPr>
      </w:pPr>
    </w:p>
    <w:p w:rsidR="002716BB" w:rsidRPr="004D1094" w:rsidRDefault="00640DE4" w:rsidP="002716BB">
      <w:pPr>
        <w:pStyle w:val="Brdtext"/>
        <w:keepNext/>
        <w:rPr>
          <w:i/>
          <w:lang w:val="en-GB"/>
        </w:rPr>
      </w:pPr>
      <w:r w:rsidRPr="004D1094">
        <w:rPr>
          <w:i/>
          <w:lang w:val="en-GB"/>
        </w:rPr>
        <w:t>6</w:t>
      </w:r>
      <w:r w:rsidR="002716BB" w:rsidRPr="004D1094">
        <w:rPr>
          <w:i/>
          <w:lang w:val="en-GB"/>
        </w:rPr>
        <w:t>.2 Improvement of a selected equation of state (EOS) for the calculation of LNG densities</w:t>
      </w:r>
    </w:p>
    <w:p w:rsidR="002716BB" w:rsidRPr="00D72832" w:rsidRDefault="002716BB" w:rsidP="002716BB">
      <w:pPr>
        <w:pStyle w:val="Brdtext"/>
        <w:keepNext/>
        <w:rPr>
          <w:lang w:val="en-GB"/>
        </w:rPr>
      </w:pPr>
      <w:r w:rsidRPr="004D1094">
        <w:rPr>
          <w:lang w:val="en-GB"/>
        </w:rPr>
        <w:t xml:space="preserve">The LNG density is crucial for the custody transfer, and in most cases the density is calculated according to the GIIGNL handbook </w:t>
      </w:r>
      <w:r w:rsidRPr="004D1094">
        <w:rPr>
          <w:lang w:val="en-GB"/>
        </w:rPr>
        <w:fldChar w:fldCharType="begin"/>
      </w:r>
      <w:r w:rsidRPr="004D1094">
        <w:rPr>
          <w:lang w:val="en-GB"/>
        </w:rPr>
        <w:instrText xml:space="preserve"> REF _Ref456773568 \r \h </w:instrText>
      </w:r>
      <w:r w:rsidRPr="004D1094">
        <w:rPr>
          <w:lang w:val="en-GB"/>
        </w:rPr>
      </w:r>
      <w:r w:rsidRPr="004D1094">
        <w:rPr>
          <w:lang w:val="en-GB"/>
        </w:rPr>
        <w:fldChar w:fldCharType="separate"/>
      </w:r>
      <w:r w:rsidR="00650C3B">
        <w:rPr>
          <w:lang w:val="en-GB"/>
        </w:rPr>
        <w:t>[3]</w:t>
      </w:r>
      <w:r w:rsidRPr="004D1094">
        <w:rPr>
          <w:lang w:val="en-GB"/>
        </w:rPr>
        <w:fldChar w:fldCharType="end"/>
      </w:r>
      <w:r w:rsidRPr="004D1094">
        <w:rPr>
          <w:lang w:val="en-GB"/>
        </w:rPr>
        <w:t xml:space="preserve">. Therein, the RKM is </w:t>
      </w:r>
      <w:proofErr w:type="spellStart"/>
      <w:r w:rsidR="00802909" w:rsidRPr="004D1094">
        <w:rPr>
          <w:lang w:val="en-GB"/>
        </w:rPr>
        <w:t>recom</w:t>
      </w:r>
      <w:proofErr w:type="spellEnd"/>
      <w:r w:rsidR="00802909" w:rsidRPr="004D1094">
        <w:rPr>
          <w:lang w:val="en-GB"/>
        </w:rPr>
        <w:t>-mended</w:t>
      </w:r>
      <w:r w:rsidRPr="004D1094">
        <w:rPr>
          <w:lang w:val="en-GB"/>
        </w:rPr>
        <w:t xml:space="preserve"> for density calculation, which is a pressure-independent equation to calculate saturated liquid densities within the temperature range relevant for the LNG custody transfer (</w:t>
      </w:r>
      <w:r w:rsidRPr="004D1094">
        <w:rPr>
          <w:i/>
          <w:lang w:val="en-GB"/>
        </w:rPr>
        <w:t>T</w:t>
      </w:r>
      <w:r w:rsidRPr="004D1094">
        <w:rPr>
          <w:lang w:val="en-GB"/>
        </w:rPr>
        <w:t xml:space="preserve"> &lt; 115 K). Today, it is known that this particular equation is in need of improvement with regard to pressure-dependent density calculations and the </w:t>
      </w:r>
      <w:r w:rsidRPr="00D72832">
        <w:rPr>
          <w:lang w:val="en-GB"/>
        </w:rPr>
        <w:t>corresponding uncertainties. By comparing the new experimental data sets with the relevant equations of state (e.g., RKM and GERG-2008 EOS)</w:t>
      </w:r>
      <w:proofErr w:type="gramStart"/>
      <w:r w:rsidRPr="00D72832">
        <w:rPr>
          <w:lang w:val="en-GB"/>
        </w:rPr>
        <w:t>,</w:t>
      </w:r>
      <w:proofErr w:type="gramEnd"/>
      <w:r w:rsidRPr="00D72832">
        <w:rPr>
          <w:lang w:val="en-GB"/>
        </w:rPr>
        <w:t xml:space="preserve"> RUB developed an enhanced Revised Klosek-McKinley-method (ERKM). The original RKM was supplemented by a new pressure-dependent term. The uncertainties of density calculations with the new </w:t>
      </w:r>
      <w:r w:rsidR="0068002E" w:rsidRPr="00D72832">
        <w:rPr>
          <w:lang w:val="en-GB"/>
        </w:rPr>
        <w:t>ERKM are (indepen</w:t>
      </w:r>
      <w:r w:rsidR="0068002E" w:rsidRPr="00D72832">
        <w:rPr>
          <w:lang w:val="en-GB"/>
        </w:rPr>
        <w:softHyphen/>
        <w:t xml:space="preserve">dent of pressure) 0.10% for 100 K ≤ </w:t>
      </w:r>
      <w:r w:rsidR="0068002E" w:rsidRPr="00D72832">
        <w:rPr>
          <w:i/>
          <w:lang w:val="en-GB"/>
        </w:rPr>
        <w:t>T</w:t>
      </w:r>
      <w:r w:rsidR="0068002E" w:rsidRPr="00D72832">
        <w:rPr>
          <w:lang w:val="en-GB"/>
        </w:rPr>
        <w:t xml:space="preserve"> ≤ 115 K and 0.15% for 115 K &lt; </w:t>
      </w:r>
      <w:r w:rsidR="0068002E" w:rsidRPr="00D72832">
        <w:rPr>
          <w:i/>
          <w:lang w:val="en-GB"/>
        </w:rPr>
        <w:t>T</w:t>
      </w:r>
      <w:r w:rsidR="0068002E" w:rsidRPr="00D72832">
        <w:rPr>
          <w:lang w:val="en-GB"/>
        </w:rPr>
        <w:t xml:space="preserve"> ≤ 135 K. RUB implemented</w:t>
      </w:r>
      <w:r w:rsidRPr="00D72832">
        <w:rPr>
          <w:lang w:val="en-GB"/>
        </w:rPr>
        <w:t xml:space="preserve"> the ERKM in their software tool called ‘TREND’, which also includes other models for the calculation of the thermodynamic properties of LNG.</w:t>
      </w:r>
    </w:p>
    <w:p w:rsidR="002716BB" w:rsidRPr="00D72832" w:rsidRDefault="002716BB" w:rsidP="002716BB">
      <w:pPr>
        <w:pStyle w:val="Brdtext"/>
        <w:keepNext/>
        <w:rPr>
          <w:lang w:val="en-GB"/>
        </w:rPr>
      </w:pPr>
    </w:p>
    <w:p w:rsidR="002716BB" w:rsidRPr="004D1094" w:rsidRDefault="00640DE4" w:rsidP="002716BB">
      <w:pPr>
        <w:pStyle w:val="Brdtext"/>
        <w:keepNext/>
        <w:rPr>
          <w:i/>
          <w:lang w:val="en-GB"/>
        </w:rPr>
      </w:pPr>
      <w:r w:rsidRPr="00D72832">
        <w:rPr>
          <w:i/>
          <w:lang w:val="en-GB"/>
        </w:rPr>
        <w:t>6</w:t>
      </w:r>
      <w:r w:rsidR="002716BB" w:rsidRPr="00D72832">
        <w:rPr>
          <w:i/>
          <w:lang w:val="en-GB"/>
        </w:rPr>
        <w:t xml:space="preserve">.3 LNG ultrasonic speed-of-sound </w:t>
      </w:r>
      <w:r w:rsidR="002716BB" w:rsidRPr="004D1094">
        <w:rPr>
          <w:i/>
          <w:lang w:val="en-GB"/>
        </w:rPr>
        <w:t>and density sensor</w:t>
      </w:r>
    </w:p>
    <w:p w:rsidR="00AD073C" w:rsidRPr="004D1094" w:rsidRDefault="002716BB" w:rsidP="002716BB">
      <w:pPr>
        <w:pStyle w:val="Brdtext"/>
        <w:keepNext/>
        <w:rPr>
          <w:lang w:val="en-GB"/>
        </w:rPr>
      </w:pPr>
      <w:proofErr w:type="spellStart"/>
      <w:r w:rsidRPr="004D1094">
        <w:rPr>
          <w:lang w:val="en-GB"/>
        </w:rPr>
        <w:t>INRiM</w:t>
      </w:r>
      <w:proofErr w:type="spellEnd"/>
      <w:r w:rsidRPr="004D1094">
        <w:rPr>
          <w:lang w:val="en-GB"/>
        </w:rPr>
        <w:t xml:space="preserve"> developed a new type of sensor, which simultaneously determines densities and speed-of-sound (</w:t>
      </w:r>
      <w:proofErr w:type="spellStart"/>
      <w:proofErr w:type="gramStart"/>
      <w:r w:rsidRPr="004D1094">
        <w:rPr>
          <w:lang w:val="en-GB"/>
        </w:rPr>
        <w:t>SoS</w:t>
      </w:r>
      <w:proofErr w:type="spellEnd"/>
      <w:proofErr w:type="gramEnd"/>
      <w:r w:rsidRPr="004D1094">
        <w:rPr>
          <w:lang w:val="en-GB"/>
        </w:rPr>
        <w:t>) of LNG samples in the liquid phase at different cryogenic temperatures (91 &lt; (T/K) &lt; 110). The physical measurement principle consists of a dynamic measurement completely different and independent from densimeter developed by RUB, so that the inter-comparison and mutual validation of the experimental results is feasible</w:t>
      </w:r>
      <w:r w:rsidR="00AD073C" w:rsidRPr="004D1094">
        <w:rPr>
          <w:lang w:val="en-GB"/>
        </w:rPr>
        <w:t>.</w:t>
      </w:r>
    </w:p>
    <w:p w:rsidR="00BA355B" w:rsidRPr="004D1094" w:rsidRDefault="00BA355B" w:rsidP="00BA355B">
      <w:pPr>
        <w:pStyle w:val="Brdtext"/>
        <w:keepNext/>
        <w:rPr>
          <w:sz w:val="16"/>
          <w:szCs w:val="16"/>
          <w:lang w:val="en-GB"/>
        </w:rPr>
      </w:pPr>
    </w:p>
    <w:p w:rsidR="006909FE" w:rsidRPr="004D1094" w:rsidRDefault="006909FE" w:rsidP="00AD073C">
      <w:pPr>
        <w:pStyle w:val="Brdtext"/>
        <w:keepNext/>
        <w:jc w:val="center"/>
        <w:rPr>
          <w:lang w:val="en-GB"/>
        </w:rPr>
      </w:pPr>
      <w:r w:rsidRPr="004D1094">
        <w:rPr>
          <w:noProof/>
          <w:lang w:val="sv-SE" w:eastAsia="sv-SE"/>
        </w:rPr>
        <w:drawing>
          <wp:inline distT="0" distB="0" distL="0" distR="0" wp14:anchorId="330C2414" wp14:editId="73D0D1AE">
            <wp:extent cx="2880000" cy="195160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1951608"/>
                    </a:xfrm>
                    <a:prstGeom prst="rect">
                      <a:avLst/>
                    </a:prstGeom>
                    <a:noFill/>
                  </pic:spPr>
                </pic:pic>
              </a:graphicData>
            </a:graphic>
          </wp:inline>
        </w:drawing>
      </w:r>
    </w:p>
    <w:p w:rsidR="006909FE" w:rsidRPr="004D1094" w:rsidRDefault="006909FE" w:rsidP="006909FE">
      <w:pPr>
        <w:pStyle w:val="Beskrivning"/>
        <w:rPr>
          <w:szCs w:val="16"/>
          <w:lang w:val="en-GB"/>
        </w:rPr>
      </w:pPr>
      <w:bookmarkStart w:id="6" w:name="_Ref456708522"/>
      <w:r w:rsidRPr="004D1094">
        <w:rPr>
          <w:szCs w:val="16"/>
          <w:lang w:val="en-GB"/>
        </w:rPr>
        <w:t>Figur</w:t>
      </w:r>
      <w:r w:rsidR="008316D7" w:rsidRPr="004D1094">
        <w:rPr>
          <w:szCs w:val="16"/>
          <w:lang w:val="en-GB"/>
        </w:rPr>
        <w:t>e</w:t>
      </w:r>
      <w:r w:rsidRPr="004D1094">
        <w:rPr>
          <w:szCs w:val="16"/>
          <w:lang w:val="en-GB"/>
        </w:rPr>
        <w:t xml:space="preserve"> </w:t>
      </w:r>
      <w:r w:rsidRPr="004D1094">
        <w:rPr>
          <w:szCs w:val="16"/>
          <w:lang w:val="en-GB"/>
        </w:rPr>
        <w:fldChar w:fldCharType="begin"/>
      </w:r>
      <w:r w:rsidRPr="004D1094">
        <w:rPr>
          <w:szCs w:val="16"/>
          <w:lang w:val="en-GB"/>
        </w:rPr>
        <w:instrText xml:space="preserve"> SEQ Figur \* ARABIC </w:instrText>
      </w:r>
      <w:r w:rsidRPr="004D1094">
        <w:rPr>
          <w:szCs w:val="16"/>
          <w:lang w:val="en-GB"/>
        </w:rPr>
        <w:fldChar w:fldCharType="separate"/>
      </w:r>
      <w:r w:rsidR="00650C3B">
        <w:rPr>
          <w:noProof/>
          <w:szCs w:val="16"/>
          <w:lang w:val="en-GB"/>
        </w:rPr>
        <w:t>5</w:t>
      </w:r>
      <w:r w:rsidRPr="004D1094">
        <w:rPr>
          <w:szCs w:val="16"/>
          <w:lang w:val="en-GB"/>
        </w:rPr>
        <w:fldChar w:fldCharType="end"/>
      </w:r>
      <w:bookmarkEnd w:id="6"/>
      <w:r w:rsidRPr="004D1094">
        <w:rPr>
          <w:szCs w:val="16"/>
          <w:lang w:val="en-GB"/>
        </w:rPr>
        <w:t xml:space="preserve"> – </w:t>
      </w:r>
      <w:proofErr w:type="spellStart"/>
      <w:r w:rsidR="00D20435" w:rsidRPr="004D1094">
        <w:rPr>
          <w:szCs w:val="16"/>
          <w:lang w:val="en-GB"/>
        </w:rPr>
        <w:t>INRiM's</w:t>
      </w:r>
      <w:proofErr w:type="spellEnd"/>
      <w:r w:rsidR="00D20435" w:rsidRPr="004D1094">
        <w:rPr>
          <w:szCs w:val="16"/>
          <w:lang w:val="en-GB"/>
        </w:rPr>
        <w:t xml:space="preserve"> sensor for the simultaneous measurement of the density and speed of sound of a fluid based on the determination of the acoustic impedance of the sample.</w:t>
      </w:r>
    </w:p>
    <w:p w:rsidR="004C54E0" w:rsidRPr="00D72832" w:rsidRDefault="00CA60AA" w:rsidP="00CA60AA">
      <w:pPr>
        <w:jc w:val="both"/>
        <w:rPr>
          <w:sz w:val="20"/>
          <w:lang w:val="en-GB"/>
        </w:rPr>
      </w:pPr>
      <w:r w:rsidRPr="00D72832">
        <w:rPr>
          <w:sz w:val="20"/>
          <w:lang w:val="en-GB"/>
        </w:rPr>
        <w:lastRenderedPageBreak/>
        <w:t xml:space="preserve">The new </w:t>
      </w:r>
      <w:proofErr w:type="spellStart"/>
      <w:r w:rsidRPr="00D72832">
        <w:rPr>
          <w:sz w:val="20"/>
          <w:lang w:val="en-GB"/>
        </w:rPr>
        <w:t>SoS</w:t>
      </w:r>
      <w:proofErr w:type="spellEnd"/>
      <w:r w:rsidRPr="00D72832">
        <w:rPr>
          <w:sz w:val="20"/>
          <w:lang w:val="en-GB"/>
        </w:rPr>
        <w:t xml:space="preserve"> sensor </w:t>
      </w:r>
      <w:r w:rsidR="00BA355B" w:rsidRPr="00D72832">
        <w:rPr>
          <w:sz w:val="20"/>
          <w:lang w:val="en-GB"/>
        </w:rPr>
        <w:t xml:space="preserve">(see </w:t>
      </w:r>
      <w:r w:rsidR="00BA355B" w:rsidRPr="00D72832">
        <w:rPr>
          <w:b/>
          <w:sz w:val="20"/>
          <w:lang w:val="en-GB"/>
        </w:rPr>
        <w:fldChar w:fldCharType="begin"/>
      </w:r>
      <w:r w:rsidR="00BA355B" w:rsidRPr="00D72832">
        <w:rPr>
          <w:b/>
          <w:sz w:val="20"/>
          <w:lang w:val="en-GB"/>
        </w:rPr>
        <w:instrText xml:space="preserve"> REF _Ref456708522 \h  \* MERGEFORMAT </w:instrText>
      </w:r>
      <w:r w:rsidR="00BA355B" w:rsidRPr="00D72832">
        <w:rPr>
          <w:b/>
          <w:sz w:val="20"/>
          <w:lang w:val="en-GB"/>
        </w:rPr>
      </w:r>
      <w:r w:rsidR="00BA355B" w:rsidRPr="00D72832">
        <w:rPr>
          <w:b/>
          <w:sz w:val="20"/>
          <w:lang w:val="en-GB"/>
        </w:rPr>
        <w:fldChar w:fldCharType="separate"/>
      </w:r>
      <w:r w:rsidR="00650C3B" w:rsidRPr="00D72832">
        <w:rPr>
          <w:b/>
          <w:sz w:val="20"/>
          <w:lang w:val="en-GB"/>
        </w:rPr>
        <w:t xml:space="preserve">Figure </w:t>
      </w:r>
      <w:r w:rsidR="00650C3B" w:rsidRPr="00D72832">
        <w:rPr>
          <w:b/>
          <w:noProof/>
          <w:sz w:val="20"/>
          <w:lang w:val="en-GB"/>
        </w:rPr>
        <w:t>5</w:t>
      </w:r>
      <w:r w:rsidR="00BA355B" w:rsidRPr="00D72832">
        <w:rPr>
          <w:b/>
          <w:sz w:val="20"/>
          <w:lang w:val="en-GB"/>
        </w:rPr>
        <w:fldChar w:fldCharType="end"/>
      </w:r>
      <w:r w:rsidR="00BA355B" w:rsidRPr="00D72832">
        <w:rPr>
          <w:sz w:val="20"/>
          <w:lang w:val="en-GB"/>
        </w:rPr>
        <w:t xml:space="preserve">) with a </w:t>
      </w:r>
      <w:r w:rsidR="006A592D" w:rsidRPr="00D72832">
        <w:rPr>
          <w:sz w:val="20"/>
          <w:lang w:val="en-GB"/>
        </w:rPr>
        <w:t xml:space="preserve">relative measurement </w:t>
      </w:r>
      <w:r w:rsidRPr="00D72832">
        <w:rPr>
          <w:sz w:val="20"/>
          <w:lang w:val="en-GB"/>
        </w:rPr>
        <w:t>uncertainty</w:t>
      </w:r>
      <w:r w:rsidR="006A592D" w:rsidRPr="00D72832">
        <w:rPr>
          <w:sz w:val="20"/>
          <w:lang w:val="en-GB"/>
        </w:rPr>
        <w:t xml:space="preserve"> (</w:t>
      </w:r>
      <w:r w:rsidR="006A592D" w:rsidRPr="00D72832">
        <w:rPr>
          <w:i/>
          <w:sz w:val="20"/>
          <w:lang w:val="en-GB"/>
        </w:rPr>
        <w:t>k=2</w:t>
      </w:r>
      <w:r w:rsidR="006A592D" w:rsidRPr="00D72832">
        <w:rPr>
          <w:sz w:val="20"/>
          <w:lang w:val="en-GB"/>
        </w:rPr>
        <w:t>)</w:t>
      </w:r>
      <w:r w:rsidR="00BA355B" w:rsidRPr="00D72832">
        <w:rPr>
          <w:sz w:val="20"/>
          <w:lang w:val="en-GB"/>
        </w:rPr>
        <w:t xml:space="preserve"> of</w:t>
      </w:r>
      <w:r w:rsidR="00675BE9" w:rsidRPr="00D72832">
        <w:rPr>
          <w:sz w:val="20"/>
          <w:lang w:val="en-GB"/>
        </w:rPr>
        <w:t xml:space="preserve"> approx. 0.05%</w:t>
      </w:r>
      <w:r w:rsidRPr="00D72832">
        <w:rPr>
          <w:sz w:val="20"/>
          <w:lang w:val="en-GB"/>
        </w:rPr>
        <w:t xml:space="preserve"> works on the principle of the double pulse-echo technique at cryogenic temperature and with a closed-loop cryostat appropriate to thermostat the sensor. This design differs from commercial ultrasonic flow-meters because the cell works completely immersed into the liquid (LNG), in this way density of the LNG sample is obtained (relative</w:t>
      </w:r>
      <w:r w:rsidR="008F650D" w:rsidRPr="00D72832">
        <w:rPr>
          <w:sz w:val="20"/>
          <w:lang w:val="en-GB"/>
        </w:rPr>
        <w:t xml:space="preserve"> measurement</w:t>
      </w:r>
      <w:r w:rsidRPr="00D72832">
        <w:rPr>
          <w:sz w:val="20"/>
          <w:lang w:val="en-GB"/>
        </w:rPr>
        <w:t xml:space="preserve"> uncertainty</w:t>
      </w:r>
      <w:r w:rsidR="008F650D" w:rsidRPr="00D72832">
        <w:rPr>
          <w:sz w:val="20"/>
          <w:lang w:val="en-GB"/>
        </w:rPr>
        <w:t xml:space="preserve"> (</w:t>
      </w:r>
      <w:r w:rsidR="008F650D" w:rsidRPr="00D72832">
        <w:rPr>
          <w:i/>
          <w:sz w:val="20"/>
          <w:lang w:val="en-GB"/>
        </w:rPr>
        <w:t>k=2</w:t>
      </w:r>
      <w:r w:rsidR="008F650D" w:rsidRPr="00D72832">
        <w:rPr>
          <w:sz w:val="20"/>
          <w:lang w:val="en-GB"/>
        </w:rPr>
        <w:t>)</w:t>
      </w:r>
      <w:r w:rsidRPr="00D72832">
        <w:rPr>
          <w:sz w:val="20"/>
          <w:lang w:val="en-GB"/>
        </w:rPr>
        <w:t xml:space="preserve"> approx. 0.2%) by measuring its acoustic impedance Z and the sound velocity w, ρ=Z/w. Preliminary results</w:t>
      </w:r>
      <w:r w:rsidR="007274FF" w:rsidRPr="00D72832">
        <w:rPr>
          <w:sz w:val="20"/>
          <w:lang w:val="en-GB"/>
        </w:rPr>
        <w:t xml:space="preserve"> </w:t>
      </w:r>
      <w:r w:rsidR="006E6879" w:rsidRPr="00D72832">
        <w:rPr>
          <w:sz w:val="20"/>
          <w:lang w:val="en-GB"/>
        </w:rPr>
        <w:fldChar w:fldCharType="begin"/>
      </w:r>
      <w:r w:rsidR="006E6879" w:rsidRPr="00D72832">
        <w:rPr>
          <w:sz w:val="20"/>
          <w:lang w:val="en-GB"/>
        </w:rPr>
        <w:instrText xml:space="preserve"> REF _Ref456791874 \r \h </w:instrText>
      </w:r>
      <w:r w:rsidR="006E6879" w:rsidRPr="00D72832">
        <w:rPr>
          <w:sz w:val="20"/>
          <w:lang w:val="en-GB"/>
        </w:rPr>
      </w:r>
      <w:r w:rsidR="006E6879" w:rsidRPr="00D72832">
        <w:rPr>
          <w:sz w:val="20"/>
          <w:lang w:val="en-GB"/>
        </w:rPr>
        <w:fldChar w:fldCharType="separate"/>
      </w:r>
      <w:r w:rsidR="00650C3B" w:rsidRPr="00D72832">
        <w:rPr>
          <w:sz w:val="20"/>
          <w:lang w:val="en-GB"/>
        </w:rPr>
        <w:t>[9]</w:t>
      </w:r>
      <w:r w:rsidR="006E6879" w:rsidRPr="00D72832">
        <w:rPr>
          <w:sz w:val="20"/>
          <w:lang w:val="en-GB"/>
        </w:rPr>
        <w:fldChar w:fldCharType="end"/>
      </w:r>
      <w:r w:rsidR="00BA355B" w:rsidRPr="00D72832">
        <w:rPr>
          <w:sz w:val="20"/>
          <w:lang w:val="en-GB"/>
        </w:rPr>
        <w:t xml:space="preserve"> </w:t>
      </w:r>
      <w:r w:rsidRPr="00D72832">
        <w:rPr>
          <w:sz w:val="20"/>
          <w:lang w:val="en-GB"/>
        </w:rPr>
        <w:t xml:space="preserve">obtained in </w:t>
      </w:r>
      <w:r w:rsidR="000334FC" w:rsidRPr="00D72832">
        <w:rPr>
          <w:sz w:val="20"/>
          <w:lang w:val="en-GB"/>
        </w:rPr>
        <w:br/>
      </w:r>
      <w:r w:rsidRPr="00D72832">
        <w:rPr>
          <w:sz w:val="20"/>
          <w:lang w:val="en-GB"/>
        </w:rPr>
        <w:t>n-</w:t>
      </w:r>
      <w:proofErr w:type="spellStart"/>
      <w:r w:rsidRPr="00D72832">
        <w:rPr>
          <w:sz w:val="20"/>
          <w:lang w:val="en-GB"/>
        </w:rPr>
        <w:t>nonane</w:t>
      </w:r>
      <w:proofErr w:type="spellEnd"/>
      <w:r w:rsidRPr="00D72832">
        <w:rPr>
          <w:sz w:val="20"/>
          <w:lang w:val="en-GB"/>
        </w:rPr>
        <w:t>, n-</w:t>
      </w:r>
      <w:proofErr w:type="spellStart"/>
      <w:r w:rsidRPr="00D72832">
        <w:rPr>
          <w:sz w:val="20"/>
          <w:lang w:val="en-GB"/>
        </w:rPr>
        <w:t>undecane</w:t>
      </w:r>
      <w:proofErr w:type="spellEnd"/>
      <w:r w:rsidRPr="00D72832">
        <w:rPr>
          <w:sz w:val="20"/>
          <w:lang w:val="en-GB"/>
        </w:rPr>
        <w:t>, toluene and water</w:t>
      </w:r>
      <w:r w:rsidR="007274FF" w:rsidRPr="00D72832">
        <w:rPr>
          <w:sz w:val="20"/>
          <w:lang w:val="en-GB"/>
        </w:rPr>
        <w:t xml:space="preserve"> are within 0.2%</w:t>
      </w:r>
      <w:r w:rsidR="004A346C" w:rsidRPr="00D72832">
        <w:rPr>
          <w:sz w:val="20"/>
          <w:lang w:val="en-GB"/>
        </w:rPr>
        <w:t xml:space="preserve"> </w:t>
      </w:r>
      <w:r w:rsidR="007274FF" w:rsidRPr="00D72832">
        <w:rPr>
          <w:sz w:val="20"/>
          <w:lang w:val="en-GB"/>
        </w:rPr>
        <w:t>and thus show a good a</w:t>
      </w:r>
      <w:r w:rsidRPr="00D72832">
        <w:rPr>
          <w:sz w:val="20"/>
          <w:lang w:val="en-GB"/>
        </w:rPr>
        <w:t>greement between</w:t>
      </w:r>
      <w:r w:rsidR="007274FF" w:rsidRPr="00D72832">
        <w:rPr>
          <w:sz w:val="20"/>
          <w:lang w:val="en-GB"/>
        </w:rPr>
        <w:t xml:space="preserve"> the</w:t>
      </w:r>
      <w:r w:rsidRPr="00D72832">
        <w:rPr>
          <w:sz w:val="20"/>
          <w:lang w:val="en-GB"/>
        </w:rPr>
        <w:t xml:space="preserve"> measured density and literature data</w:t>
      </w:r>
      <w:r w:rsidR="007274FF" w:rsidRPr="00D72832">
        <w:rPr>
          <w:sz w:val="20"/>
          <w:lang w:val="en-GB"/>
        </w:rPr>
        <w:t>.</w:t>
      </w:r>
      <w:r w:rsidRPr="00D72832">
        <w:rPr>
          <w:sz w:val="20"/>
          <w:lang w:val="en-GB"/>
        </w:rPr>
        <w:t xml:space="preserve"> Then the sensor will be validated at cryogenic temperature (in the LNG range) inside of the new laboratory cryostat. With the developed </w:t>
      </w:r>
      <w:proofErr w:type="spellStart"/>
      <w:proofErr w:type="gramStart"/>
      <w:r w:rsidRPr="00D72832">
        <w:rPr>
          <w:sz w:val="20"/>
          <w:lang w:val="en-GB"/>
        </w:rPr>
        <w:t>SoS</w:t>
      </w:r>
      <w:proofErr w:type="spellEnd"/>
      <w:proofErr w:type="gramEnd"/>
      <w:r w:rsidRPr="00D72832">
        <w:rPr>
          <w:sz w:val="20"/>
          <w:lang w:val="en-GB"/>
        </w:rPr>
        <w:t xml:space="preserve"> sensor, densities and speed-of-sound of methane and, additionally, of LNG-like mixtures will be determined in liquid phase</w:t>
      </w:r>
      <w:r w:rsidR="001012F2" w:rsidRPr="00D72832">
        <w:rPr>
          <w:sz w:val="20"/>
          <w:lang w:val="en-GB"/>
        </w:rPr>
        <w:t>.</w:t>
      </w:r>
    </w:p>
    <w:p w:rsidR="0059323D" w:rsidRPr="00D72832" w:rsidRDefault="006909FE" w:rsidP="00CA60AA">
      <w:pPr>
        <w:jc w:val="both"/>
        <w:rPr>
          <w:sz w:val="20"/>
          <w:lang w:val="en-GB"/>
        </w:rPr>
      </w:pPr>
      <w:r w:rsidRPr="00D72832">
        <w:rPr>
          <w:sz w:val="20"/>
          <w:lang w:val="en-GB"/>
        </w:rPr>
        <w:br/>
      </w:r>
      <w:r w:rsidR="00640DE4" w:rsidRPr="00D72832">
        <w:rPr>
          <w:i/>
          <w:sz w:val="20"/>
          <w:lang w:val="en-GB"/>
        </w:rPr>
        <w:t>6</w:t>
      </w:r>
      <w:r w:rsidR="001012F2" w:rsidRPr="00D72832">
        <w:rPr>
          <w:i/>
          <w:sz w:val="20"/>
          <w:lang w:val="en-GB"/>
        </w:rPr>
        <w:t>.4 Uncertainty for enthalpy and calorific value calculations</w:t>
      </w:r>
      <w:r w:rsidRPr="00D72832">
        <w:rPr>
          <w:i/>
          <w:sz w:val="20"/>
          <w:lang w:val="en-GB"/>
        </w:rPr>
        <w:br/>
      </w:r>
      <w:proofErr w:type="gramStart"/>
      <w:r w:rsidR="00704FA4" w:rsidRPr="00D72832">
        <w:rPr>
          <w:sz w:val="20"/>
          <w:lang w:val="en-GB"/>
        </w:rPr>
        <w:t>In</w:t>
      </w:r>
      <w:proofErr w:type="gramEnd"/>
      <w:r w:rsidR="00704FA4" w:rsidRPr="00D72832">
        <w:rPr>
          <w:sz w:val="20"/>
          <w:lang w:val="en-GB"/>
        </w:rPr>
        <w:t xml:space="preserve"> the preceding </w:t>
      </w:r>
      <w:r w:rsidR="00DF0C8F" w:rsidRPr="00D72832">
        <w:rPr>
          <w:sz w:val="20"/>
          <w:lang w:val="en-GB"/>
        </w:rPr>
        <w:t xml:space="preserve">EMRP </w:t>
      </w:r>
      <w:r w:rsidR="00704FA4" w:rsidRPr="00D72832">
        <w:rPr>
          <w:sz w:val="20"/>
          <w:lang w:val="en-GB"/>
        </w:rPr>
        <w:t xml:space="preserve">JRP, the PTB calculated the calorific values and enthalpies of formation of typical LNG samples. A notable result of these calculations was the difference in energy content between the LNG in the real liquid state (-160°C, several bar pressure) and at pipeline reference conditions (15 or 25°C, atmospheric pressure). The monetary equivalence of this energy (enthalpy) difference can be up to 500 </w:t>
      </w:r>
      <w:r w:rsidR="00941325" w:rsidRPr="00D72832">
        <w:rPr>
          <w:sz w:val="20"/>
          <w:lang w:val="en-GB"/>
        </w:rPr>
        <w:t xml:space="preserve">k€ </w:t>
      </w:r>
      <w:r w:rsidR="00704FA4" w:rsidRPr="00D72832">
        <w:rPr>
          <w:sz w:val="20"/>
          <w:lang w:val="en-GB"/>
        </w:rPr>
        <w:t>per shipload. Additionally, the lack of uncertainties, state-of-the-art uncertainty budgets and doubtless traceability for many input quantities for the enthalpy and calorific value calculations, like heat capacities or enthalpies of formation force to critically examine the literature data used in the calculations with respect to the given uncertainties and to check the traceability of these data</w:t>
      </w:r>
      <w:r w:rsidR="001012F2" w:rsidRPr="00D72832">
        <w:rPr>
          <w:sz w:val="20"/>
          <w:lang w:val="en-GB"/>
        </w:rPr>
        <w:t xml:space="preserve">. </w:t>
      </w:r>
    </w:p>
    <w:p w:rsidR="00271F9B" w:rsidRPr="00D72832" w:rsidRDefault="00271F9B" w:rsidP="006909FE">
      <w:pPr>
        <w:jc w:val="both"/>
        <w:rPr>
          <w:sz w:val="20"/>
          <w:lang w:val="en-GB"/>
        </w:rPr>
      </w:pPr>
    </w:p>
    <w:p w:rsidR="005F2C46" w:rsidRPr="00D72832" w:rsidRDefault="00DF2772" w:rsidP="007B6CD2">
      <w:pPr>
        <w:pStyle w:val="Rubrik1"/>
        <w:jc w:val="both"/>
        <w:rPr>
          <w:lang w:val="en-GB"/>
        </w:rPr>
      </w:pPr>
      <w:r w:rsidRPr="00D72832">
        <w:rPr>
          <w:lang w:val="en-GB"/>
        </w:rPr>
        <w:t>7. Conclusion</w:t>
      </w:r>
    </w:p>
    <w:p w:rsidR="005F2C46" w:rsidRPr="00D72832" w:rsidRDefault="005F2C46">
      <w:pPr>
        <w:pStyle w:val="Brdtext"/>
        <w:rPr>
          <w:lang w:val="en-GB"/>
        </w:rPr>
      </w:pPr>
    </w:p>
    <w:p w:rsidR="00037BBC" w:rsidRPr="004D1094" w:rsidRDefault="00B33CCD" w:rsidP="00037BBC">
      <w:pPr>
        <w:pStyle w:val="Brdtext"/>
        <w:rPr>
          <w:color w:val="FF0000"/>
          <w:lang w:val="en-GB"/>
        </w:rPr>
      </w:pPr>
      <w:r w:rsidRPr="00D72832">
        <w:rPr>
          <w:lang w:val="en-GB"/>
        </w:rPr>
        <w:t>Custody transfer of LNG is based on energy measurements of the LNG transferred</w:t>
      </w:r>
      <w:r w:rsidR="00037BBC" w:rsidRPr="00D72832">
        <w:rPr>
          <w:lang w:val="en-GB"/>
        </w:rPr>
        <w:t>. The energy is determined by volume, density and the gross calorific value of the LNG. In the framework of an</w:t>
      </w:r>
      <w:r w:rsidR="00EE3353" w:rsidRPr="00D72832">
        <w:rPr>
          <w:lang w:val="en-GB"/>
        </w:rPr>
        <w:t xml:space="preserve"> ongoing</w:t>
      </w:r>
      <w:r w:rsidR="00037BBC" w:rsidRPr="00D72832">
        <w:rPr>
          <w:lang w:val="en-GB"/>
        </w:rPr>
        <w:t xml:space="preserve"> EMPIR project</w:t>
      </w:r>
      <w:r w:rsidR="00FA4FD5" w:rsidRPr="00D72832">
        <w:rPr>
          <w:lang w:val="en-GB"/>
        </w:rPr>
        <w:t>,</w:t>
      </w:r>
      <w:r w:rsidR="00037BBC" w:rsidRPr="00D72832">
        <w:rPr>
          <w:lang w:val="en-GB"/>
        </w:rPr>
        <w:t xml:space="preserve"> the measurement uncertaint</w:t>
      </w:r>
      <w:r w:rsidR="002D79D1" w:rsidRPr="00D72832">
        <w:rPr>
          <w:lang w:val="en-GB"/>
        </w:rPr>
        <w:t>ies</w:t>
      </w:r>
      <w:r w:rsidR="00037BBC" w:rsidRPr="00D72832">
        <w:rPr>
          <w:lang w:val="en-GB"/>
        </w:rPr>
        <w:t xml:space="preserve"> of all three </w:t>
      </w:r>
      <w:r w:rsidR="00710DF7" w:rsidRPr="00D72832">
        <w:rPr>
          <w:lang w:val="en-GB"/>
        </w:rPr>
        <w:t xml:space="preserve">main </w:t>
      </w:r>
      <w:r w:rsidR="00037BBC" w:rsidRPr="00D72832">
        <w:rPr>
          <w:lang w:val="en-GB"/>
        </w:rPr>
        <w:t xml:space="preserve">influence parameters </w:t>
      </w:r>
      <w:r w:rsidR="004F20DB" w:rsidRPr="00D72832">
        <w:rPr>
          <w:lang w:val="en-GB"/>
        </w:rPr>
        <w:t xml:space="preserve">are aimed to reduce </w:t>
      </w:r>
      <w:r w:rsidR="00037BBC" w:rsidRPr="00D72832">
        <w:rPr>
          <w:lang w:val="en-GB"/>
        </w:rPr>
        <w:t xml:space="preserve">in order to </w:t>
      </w:r>
      <w:r w:rsidR="00972509" w:rsidRPr="00D72832">
        <w:rPr>
          <w:lang w:val="en-GB"/>
        </w:rPr>
        <w:t>decrease</w:t>
      </w:r>
      <w:r w:rsidR="00037BBC" w:rsidRPr="00D72832">
        <w:rPr>
          <w:lang w:val="en-GB"/>
        </w:rPr>
        <w:t xml:space="preserve"> the overall measurement uncertainty</w:t>
      </w:r>
      <w:r w:rsidR="002D79D1" w:rsidRPr="00D72832">
        <w:rPr>
          <w:lang w:val="en-GB"/>
        </w:rPr>
        <w:t xml:space="preserve"> of the energy</w:t>
      </w:r>
      <w:r w:rsidR="00037BBC" w:rsidRPr="00D72832">
        <w:rPr>
          <w:lang w:val="en-GB"/>
        </w:rPr>
        <w:t xml:space="preserve"> significantly. The volume of ship tanks is measured </w:t>
      </w:r>
      <w:r w:rsidR="00DD1721" w:rsidRPr="00D72832">
        <w:rPr>
          <w:lang w:val="en-GB"/>
        </w:rPr>
        <w:t>(</w:t>
      </w:r>
      <w:r w:rsidR="00037BBC" w:rsidRPr="00D72832">
        <w:rPr>
          <w:lang w:val="en-GB"/>
        </w:rPr>
        <w:t>static</w:t>
      </w:r>
      <w:r w:rsidR="00DD1721" w:rsidRPr="00D72832">
        <w:rPr>
          <w:lang w:val="en-GB"/>
        </w:rPr>
        <w:t>)</w:t>
      </w:r>
      <w:r w:rsidR="00037BBC" w:rsidRPr="00D72832">
        <w:rPr>
          <w:lang w:val="en-GB"/>
        </w:rPr>
        <w:t xml:space="preserve"> using tank lev</w:t>
      </w:r>
      <w:r w:rsidR="002D79D1" w:rsidRPr="00D72832">
        <w:rPr>
          <w:lang w:val="en-GB"/>
        </w:rPr>
        <w:t xml:space="preserve">el gauging. This </w:t>
      </w:r>
      <w:r w:rsidR="00037BBC" w:rsidRPr="00D72832">
        <w:rPr>
          <w:lang w:val="en-GB"/>
        </w:rPr>
        <w:t xml:space="preserve">measurement </w:t>
      </w:r>
      <w:r w:rsidR="002D79D1" w:rsidRPr="00D72832">
        <w:rPr>
          <w:lang w:val="en-GB"/>
        </w:rPr>
        <w:t xml:space="preserve">method </w:t>
      </w:r>
      <w:r w:rsidR="00037BBC" w:rsidRPr="00D72832">
        <w:rPr>
          <w:lang w:val="en-GB"/>
        </w:rPr>
        <w:t xml:space="preserve">is </w:t>
      </w:r>
      <w:r w:rsidR="00090D58" w:rsidRPr="00D72832">
        <w:rPr>
          <w:lang w:val="en-GB"/>
        </w:rPr>
        <w:t xml:space="preserve">currently </w:t>
      </w:r>
      <w:r w:rsidR="00037BBC" w:rsidRPr="00D72832">
        <w:rPr>
          <w:lang w:val="en-GB"/>
        </w:rPr>
        <w:t>the</w:t>
      </w:r>
      <w:r w:rsidR="00090D58" w:rsidRPr="00D72832">
        <w:rPr>
          <w:lang w:val="en-GB"/>
        </w:rPr>
        <w:t xml:space="preserve"> only</w:t>
      </w:r>
      <w:r w:rsidR="00037BBC" w:rsidRPr="00D72832">
        <w:rPr>
          <w:lang w:val="en-GB"/>
        </w:rPr>
        <w:t xml:space="preserve"> established procedure to measure the LNG volume transferred</w:t>
      </w:r>
      <w:r w:rsidR="00864BFF" w:rsidRPr="00D72832">
        <w:rPr>
          <w:lang w:val="en-GB"/>
        </w:rPr>
        <w:t xml:space="preserve"> and therefore </w:t>
      </w:r>
      <w:r w:rsidR="00037BBC" w:rsidRPr="00D72832">
        <w:rPr>
          <w:lang w:val="en-GB"/>
        </w:rPr>
        <w:t xml:space="preserve">different </w:t>
      </w:r>
      <w:r w:rsidR="00864BFF" w:rsidRPr="00D72832">
        <w:rPr>
          <w:lang w:val="en-GB"/>
        </w:rPr>
        <w:t>to</w:t>
      </w:r>
      <w:r w:rsidR="00037BBC" w:rsidRPr="00D72832">
        <w:rPr>
          <w:lang w:val="en-GB"/>
        </w:rPr>
        <w:t xml:space="preserve"> the custody transfer of oil. </w:t>
      </w:r>
      <w:r w:rsidR="001D3410" w:rsidRPr="00D72832">
        <w:rPr>
          <w:lang w:val="en-GB"/>
        </w:rPr>
        <w:t>In the latter case (dynamic) flow measurement is, besides tank level gauging, a well-established procedure in order to determine the volume delivered.</w:t>
      </w:r>
      <w:r w:rsidR="00037BBC" w:rsidRPr="00D72832">
        <w:rPr>
          <w:lang w:val="en-GB"/>
        </w:rPr>
        <w:t xml:space="preserve"> This has the advantage that the same, permanently installed infrastructure can be used for each ship which arrives in the port. In addition real-time flow dat</w:t>
      </w:r>
      <w:r w:rsidR="00207EB9" w:rsidRPr="00D72832">
        <w:rPr>
          <w:lang w:val="en-GB"/>
        </w:rPr>
        <w:t xml:space="preserve">a is available during the load </w:t>
      </w:r>
      <w:r w:rsidR="00037BBC" w:rsidRPr="00D72832">
        <w:rPr>
          <w:lang w:val="en-GB"/>
        </w:rPr>
        <w:t>or unload process which improves the handling</w:t>
      </w:r>
      <w:r w:rsidR="002D79D1" w:rsidRPr="00D72832">
        <w:rPr>
          <w:lang w:val="en-GB"/>
        </w:rPr>
        <w:t xml:space="preserve"> and operation</w:t>
      </w:r>
      <w:r w:rsidR="00037BBC" w:rsidRPr="00D72832">
        <w:rPr>
          <w:lang w:val="en-GB"/>
        </w:rPr>
        <w:t xml:space="preserve">. Moreover, </w:t>
      </w:r>
      <w:r w:rsidR="002D79D1" w:rsidRPr="00D72832">
        <w:rPr>
          <w:lang w:val="en-GB"/>
        </w:rPr>
        <w:t xml:space="preserve">it can be foreseen that </w:t>
      </w:r>
      <w:r w:rsidR="00037BBC" w:rsidRPr="00D72832">
        <w:rPr>
          <w:lang w:val="en-GB"/>
        </w:rPr>
        <w:t>dynamic flow metering</w:t>
      </w:r>
      <w:r w:rsidR="007C3FD1" w:rsidRPr="00D72832">
        <w:rPr>
          <w:lang w:val="en-GB"/>
        </w:rPr>
        <w:t xml:space="preserve"> of LNG</w:t>
      </w:r>
      <w:r w:rsidR="00037BBC" w:rsidRPr="00D72832">
        <w:rPr>
          <w:lang w:val="en-GB"/>
        </w:rPr>
        <w:t xml:space="preserve"> will provide </w:t>
      </w:r>
      <w:r w:rsidR="00276B6F" w:rsidRPr="00D72832">
        <w:rPr>
          <w:lang w:val="en-GB"/>
        </w:rPr>
        <w:t>significant</w:t>
      </w:r>
      <w:r w:rsidR="00037BBC" w:rsidRPr="00D72832">
        <w:rPr>
          <w:lang w:val="en-GB"/>
        </w:rPr>
        <w:t xml:space="preserve"> lower measurement uncertainties</w:t>
      </w:r>
      <w:r w:rsidR="002D79D1" w:rsidRPr="00D72832">
        <w:rPr>
          <w:lang w:val="en-GB"/>
        </w:rPr>
        <w:t>,</w:t>
      </w:r>
      <w:r w:rsidR="00037BBC" w:rsidRPr="00D72832">
        <w:rPr>
          <w:lang w:val="en-GB"/>
        </w:rPr>
        <w:t xml:space="preserve"> if the flow meter</w:t>
      </w:r>
      <w:r w:rsidR="005B0158" w:rsidRPr="00D72832">
        <w:rPr>
          <w:lang w:val="en-GB"/>
        </w:rPr>
        <w:t xml:space="preserve"> </w:t>
      </w:r>
      <w:r w:rsidR="00037BBC" w:rsidRPr="00D72832">
        <w:rPr>
          <w:lang w:val="en-GB"/>
        </w:rPr>
        <w:t>could be calibrated under rea</w:t>
      </w:r>
      <w:r w:rsidR="002D79D1" w:rsidRPr="00D72832">
        <w:rPr>
          <w:lang w:val="en-GB"/>
        </w:rPr>
        <w:t>l LNG process conditions.</w:t>
      </w:r>
      <w:r w:rsidR="005B0158" w:rsidRPr="00D72832">
        <w:rPr>
          <w:lang w:val="en-GB"/>
        </w:rPr>
        <w:t xml:space="preserve"> </w:t>
      </w:r>
      <w:r w:rsidR="002D79D1" w:rsidRPr="00D72832">
        <w:rPr>
          <w:lang w:val="en-GB"/>
        </w:rPr>
        <w:t>In this</w:t>
      </w:r>
      <w:r w:rsidR="00037BBC" w:rsidRPr="00D72832">
        <w:rPr>
          <w:lang w:val="en-GB"/>
        </w:rPr>
        <w:t xml:space="preserve"> </w:t>
      </w:r>
      <w:r w:rsidR="00037BBC" w:rsidRPr="00D72832">
        <w:rPr>
          <w:lang w:val="en-GB"/>
        </w:rPr>
        <w:lastRenderedPageBreak/>
        <w:t>project a mid-scale calibration test facility will be established</w:t>
      </w:r>
      <w:r w:rsidR="007F5984" w:rsidRPr="00D72832">
        <w:rPr>
          <w:lang w:val="en-GB"/>
        </w:rPr>
        <w:t>,</w:t>
      </w:r>
      <w:r w:rsidR="00037BBC" w:rsidRPr="00D72832">
        <w:rPr>
          <w:lang w:val="en-GB"/>
        </w:rPr>
        <w:t xml:space="preserve"> primarily to provide traceable flow mea</w:t>
      </w:r>
      <w:r w:rsidR="00AD073C" w:rsidRPr="00D72832">
        <w:rPr>
          <w:lang w:val="en-GB"/>
        </w:rPr>
        <w:t xml:space="preserve">surements </w:t>
      </w:r>
      <w:r w:rsidR="00DA3689" w:rsidRPr="00D72832">
        <w:rPr>
          <w:lang w:val="en-GB"/>
        </w:rPr>
        <w:t>(flow rates up to 200 m</w:t>
      </w:r>
      <w:r w:rsidR="00DA3689" w:rsidRPr="00D72832">
        <w:rPr>
          <w:vertAlign w:val="superscript"/>
          <w:lang w:val="en-GB"/>
        </w:rPr>
        <w:t>3</w:t>
      </w:r>
      <w:r w:rsidR="00D72832">
        <w:rPr>
          <w:lang w:val="en-GB"/>
        </w:rPr>
        <w:t xml:space="preserve">/h, expandable </w:t>
      </w:r>
      <w:proofErr w:type="gramStart"/>
      <w:r w:rsidR="00D72832">
        <w:rPr>
          <w:lang w:val="en-GB"/>
        </w:rPr>
        <w:t xml:space="preserve">to 400 </w:t>
      </w:r>
      <w:r w:rsidR="00DA3689" w:rsidRPr="00D72832">
        <w:rPr>
          <w:lang w:val="en-GB"/>
        </w:rPr>
        <w:t>m3/h</w:t>
      </w:r>
      <w:proofErr w:type="gramEnd"/>
      <w:r w:rsidR="00037BBC" w:rsidRPr="00D72832">
        <w:rPr>
          <w:lang w:val="en-GB"/>
        </w:rPr>
        <w:t>) under real process conditions</w:t>
      </w:r>
      <w:r w:rsidR="007F5984" w:rsidRPr="00D72832">
        <w:rPr>
          <w:lang w:val="en-GB"/>
        </w:rPr>
        <w:t>,</w:t>
      </w:r>
      <w:r w:rsidR="00037BBC" w:rsidRPr="00D72832">
        <w:rPr>
          <w:lang w:val="en-GB"/>
        </w:rPr>
        <w:t xml:space="preserve"> but also as infrastructure to test new approaches related to sampling, density measurement, etc.</w:t>
      </w:r>
      <w:r w:rsidR="00EA10BF" w:rsidRPr="00D72832">
        <w:rPr>
          <w:lang w:val="en-GB"/>
        </w:rPr>
        <w:t xml:space="preserve"> </w:t>
      </w:r>
      <w:r w:rsidR="00276B6F" w:rsidRPr="00D72832">
        <w:rPr>
          <w:lang w:val="en-GB"/>
        </w:rPr>
        <w:t>The accurate and traceable determination of the LNG composition is important, since this is the foundation for the correct determination of the energy content and the calculation of the methane number of the transferred LNG</w:t>
      </w:r>
      <w:r w:rsidR="00EA10BF" w:rsidRPr="00D72832">
        <w:rPr>
          <w:lang w:val="en-GB"/>
        </w:rPr>
        <w:t xml:space="preserve">. </w:t>
      </w:r>
      <w:r w:rsidR="00E50A28" w:rsidRPr="00D72832">
        <w:rPr>
          <w:lang w:val="en-GB"/>
        </w:rPr>
        <w:t xml:space="preserve">Furthermore the </w:t>
      </w:r>
      <w:r w:rsidR="00021304" w:rsidRPr="00D72832">
        <w:rPr>
          <w:lang w:val="en-GB"/>
        </w:rPr>
        <w:t>high-precision</w:t>
      </w:r>
      <w:r w:rsidR="00E50A28" w:rsidRPr="00D72832">
        <w:rPr>
          <w:lang w:val="en-GB"/>
        </w:rPr>
        <w:t xml:space="preserve"> determination of density</w:t>
      </w:r>
      <w:r w:rsidR="00EA10BF" w:rsidRPr="00D72832">
        <w:rPr>
          <w:lang w:val="en-GB"/>
        </w:rPr>
        <w:t xml:space="preserve"> is based on accurate sampling and vaporization.  </w:t>
      </w:r>
      <w:r w:rsidR="00E50A28" w:rsidRPr="00D72832">
        <w:rPr>
          <w:lang w:val="en-GB"/>
        </w:rPr>
        <w:t xml:space="preserve">One specific objective of the project </w:t>
      </w:r>
      <w:r w:rsidR="001D7D10" w:rsidRPr="00D72832">
        <w:rPr>
          <w:lang w:val="en-GB"/>
        </w:rPr>
        <w:t>was</w:t>
      </w:r>
      <w:r w:rsidR="00EA10BF" w:rsidRPr="00D72832">
        <w:rPr>
          <w:lang w:val="en-GB"/>
        </w:rPr>
        <w:t xml:space="preserve"> the development of a method for the determination of the methane number</w:t>
      </w:r>
      <w:r w:rsidR="00914F9F" w:rsidRPr="004D1094">
        <w:rPr>
          <w:lang w:val="en-GB"/>
        </w:rPr>
        <w:t>,</w:t>
      </w:r>
      <w:r w:rsidR="00EA10BF" w:rsidRPr="004D1094">
        <w:rPr>
          <w:lang w:val="en-GB"/>
        </w:rPr>
        <w:t xml:space="preserve"> including a correlation of the methane number to the LNG composition</w:t>
      </w:r>
      <w:r w:rsidR="00914F9F" w:rsidRPr="004D1094">
        <w:rPr>
          <w:lang w:val="en-GB"/>
        </w:rPr>
        <w:t>,</w:t>
      </w:r>
      <w:r w:rsidR="00EA10BF" w:rsidRPr="004D1094">
        <w:rPr>
          <w:lang w:val="en-GB"/>
        </w:rPr>
        <w:t xml:space="preserve"> </w:t>
      </w:r>
      <w:r w:rsidR="00E50A28" w:rsidRPr="004D1094">
        <w:rPr>
          <w:lang w:val="en-GB"/>
        </w:rPr>
        <w:t xml:space="preserve">with the aim </w:t>
      </w:r>
      <w:r w:rsidR="00EA10BF" w:rsidRPr="004D1094">
        <w:rPr>
          <w:lang w:val="en-GB"/>
        </w:rPr>
        <w:t xml:space="preserve">to harmonize the definition and measurement methods used by gas engine manufacturers worldwide. </w:t>
      </w:r>
      <w:r w:rsidR="00216389" w:rsidRPr="004D1094">
        <w:rPr>
          <w:lang w:val="en-GB"/>
        </w:rPr>
        <w:t xml:space="preserve">Another major objective </w:t>
      </w:r>
      <w:r w:rsidR="00EA10BF" w:rsidRPr="004D1094">
        <w:rPr>
          <w:lang w:val="en-GB"/>
        </w:rPr>
        <w:t xml:space="preserve">of the project </w:t>
      </w:r>
      <w:r w:rsidR="00216389" w:rsidRPr="004D1094">
        <w:rPr>
          <w:lang w:val="en-GB"/>
        </w:rPr>
        <w:t xml:space="preserve">is to provide </w:t>
      </w:r>
      <w:r w:rsidR="00EA10BF" w:rsidRPr="004D1094">
        <w:rPr>
          <w:lang w:val="en-GB"/>
        </w:rPr>
        <w:t>validated and improved models for determination of LNG density wit</w:t>
      </w:r>
      <w:r w:rsidR="00216389" w:rsidRPr="004D1094">
        <w:rPr>
          <w:lang w:val="en-GB"/>
        </w:rPr>
        <w:t>h considerable higher accuracies</w:t>
      </w:r>
      <w:r w:rsidR="00EA10BF" w:rsidRPr="004D1094">
        <w:rPr>
          <w:lang w:val="en-GB"/>
        </w:rPr>
        <w:t xml:space="preserve">. </w:t>
      </w:r>
      <w:r w:rsidR="00F14303" w:rsidRPr="004D1094">
        <w:rPr>
          <w:lang w:val="en-GB"/>
        </w:rPr>
        <w:t>In this context</w:t>
      </w:r>
      <w:r w:rsidR="00EA10BF" w:rsidRPr="004D1094">
        <w:rPr>
          <w:lang w:val="en-GB"/>
        </w:rPr>
        <w:t xml:space="preserve"> improved correlation between density and composition will be established.</w:t>
      </w:r>
      <w:r w:rsidR="003E3482" w:rsidRPr="004D1094">
        <w:rPr>
          <w:lang w:val="en-GB"/>
        </w:rPr>
        <w:t xml:space="preserve"> Within the project a unique high accuracy (off-line) densimeter and a novel (in-line) speed-of-sound (</w:t>
      </w:r>
      <w:proofErr w:type="spellStart"/>
      <w:proofErr w:type="gramStart"/>
      <w:r w:rsidR="003E3482" w:rsidRPr="004D1094">
        <w:rPr>
          <w:lang w:val="en-GB"/>
        </w:rPr>
        <w:t>SoS</w:t>
      </w:r>
      <w:proofErr w:type="spellEnd"/>
      <w:proofErr w:type="gramEnd"/>
      <w:r w:rsidR="003E3482" w:rsidRPr="004D1094">
        <w:rPr>
          <w:lang w:val="en-GB"/>
        </w:rPr>
        <w:t>) and density</w:t>
      </w:r>
      <w:r w:rsidR="00902965" w:rsidRPr="004D1094">
        <w:rPr>
          <w:lang w:val="en-GB"/>
        </w:rPr>
        <w:t xml:space="preserve"> measurement</w:t>
      </w:r>
      <w:r w:rsidR="003E3482" w:rsidRPr="004D1094">
        <w:rPr>
          <w:lang w:val="en-GB"/>
        </w:rPr>
        <w:t xml:space="preserve"> </w:t>
      </w:r>
      <w:r w:rsidR="00902965" w:rsidRPr="004D1094">
        <w:rPr>
          <w:lang w:val="en-GB"/>
        </w:rPr>
        <w:t>system</w:t>
      </w:r>
      <w:r w:rsidR="003E3482" w:rsidRPr="004D1094">
        <w:rPr>
          <w:lang w:val="en-GB"/>
        </w:rPr>
        <w:t xml:space="preserve"> were developed.</w:t>
      </w:r>
      <w:r w:rsidR="00EA10BF" w:rsidRPr="004D1094">
        <w:rPr>
          <w:lang w:val="en-GB"/>
        </w:rPr>
        <w:t xml:space="preserve"> </w:t>
      </w:r>
      <w:r w:rsidR="00B93A47" w:rsidRPr="004D1094">
        <w:rPr>
          <w:lang w:val="en-GB"/>
        </w:rPr>
        <w:t>That means two independent</w:t>
      </w:r>
      <w:r w:rsidR="00902965" w:rsidRPr="004D1094">
        <w:rPr>
          <w:lang w:val="en-GB"/>
        </w:rPr>
        <w:t xml:space="preserve"> methods for the</w:t>
      </w:r>
      <w:r w:rsidR="00B93A47" w:rsidRPr="004D1094">
        <w:rPr>
          <w:lang w:val="en-GB"/>
        </w:rPr>
        <w:t xml:space="preserve"> determination of the density are available. </w:t>
      </w:r>
      <w:r w:rsidR="00D03A83" w:rsidRPr="004D1094">
        <w:rPr>
          <w:lang w:val="en-GB"/>
        </w:rPr>
        <w:t>T</w:t>
      </w:r>
      <w:r w:rsidR="0017679A" w:rsidRPr="004D1094">
        <w:rPr>
          <w:lang w:val="en-GB"/>
        </w:rPr>
        <w:t>he</w:t>
      </w:r>
      <w:r w:rsidR="00B93A47" w:rsidRPr="004D1094">
        <w:rPr>
          <w:lang w:val="en-GB"/>
        </w:rPr>
        <w:t xml:space="preserve"> </w:t>
      </w:r>
      <w:proofErr w:type="spellStart"/>
      <w:proofErr w:type="gramStart"/>
      <w:r w:rsidR="00EA10BF" w:rsidRPr="004D1094">
        <w:rPr>
          <w:lang w:val="en-GB"/>
        </w:rPr>
        <w:t>SoS</w:t>
      </w:r>
      <w:proofErr w:type="spellEnd"/>
      <w:proofErr w:type="gramEnd"/>
      <w:r w:rsidR="00F14303" w:rsidRPr="004D1094">
        <w:rPr>
          <w:lang w:val="en-GB"/>
        </w:rPr>
        <w:t xml:space="preserve"> and density</w:t>
      </w:r>
      <w:r w:rsidR="00EA10BF" w:rsidRPr="004D1094">
        <w:rPr>
          <w:lang w:val="en-GB"/>
        </w:rPr>
        <w:t xml:space="preserve"> </w:t>
      </w:r>
      <w:r w:rsidR="00F24360" w:rsidRPr="004D1094">
        <w:rPr>
          <w:lang w:val="en-GB"/>
        </w:rPr>
        <w:t xml:space="preserve">sensor </w:t>
      </w:r>
      <w:r w:rsidR="0017679A" w:rsidRPr="004D1094">
        <w:rPr>
          <w:lang w:val="en-GB"/>
        </w:rPr>
        <w:t xml:space="preserve">will </w:t>
      </w:r>
      <w:r w:rsidR="00444CBE" w:rsidRPr="004D1094">
        <w:rPr>
          <w:lang w:val="en-GB"/>
        </w:rPr>
        <w:t xml:space="preserve">be </w:t>
      </w:r>
      <w:r w:rsidR="00D03A83" w:rsidRPr="004D1094">
        <w:rPr>
          <w:lang w:val="en-GB"/>
        </w:rPr>
        <w:t xml:space="preserve">finally </w:t>
      </w:r>
      <w:r w:rsidR="0017679A" w:rsidRPr="004D1094">
        <w:rPr>
          <w:lang w:val="en-GB"/>
        </w:rPr>
        <w:t xml:space="preserve">used to </w:t>
      </w:r>
      <w:r w:rsidR="00EA10BF" w:rsidRPr="004D1094">
        <w:rPr>
          <w:lang w:val="en-GB"/>
        </w:rPr>
        <w:t>improve</w:t>
      </w:r>
      <w:r w:rsidR="0017679A" w:rsidRPr="004D1094">
        <w:rPr>
          <w:lang w:val="en-GB"/>
        </w:rPr>
        <w:t xml:space="preserve"> the</w:t>
      </w:r>
      <w:r w:rsidR="00EA10BF" w:rsidRPr="004D1094">
        <w:rPr>
          <w:lang w:val="en-GB"/>
        </w:rPr>
        <w:t xml:space="preserve"> correlation between </w:t>
      </w:r>
      <w:proofErr w:type="spellStart"/>
      <w:r w:rsidR="00EA10BF" w:rsidRPr="004D1094">
        <w:rPr>
          <w:lang w:val="en-GB"/>
        </w:rPr>
        <w:t>SoS</w:t>
      </w:r>
      <w:proofErr w:type="spellEnd"/>
      <w:r w:rsidR="00EA10BF" w:rsidRPr="004D1094">
        <w:rPr>
          <w:lang w:val="en-GB"/>
        </w:rPr>
        <w:t xml:space="preserve"> and density.</w:t>
      </w:r>
      <w:r w:rsidR="004C0450" w:rsidRPr="004D1094">
        <w:rPr>
          <w:lang w:val="en-GB"/>
        </w:rPr>
        <w:t xml:space="preserve"> </w:t>
      </w:r>
    </w:p>
    <w:p w:rsidR="005F2C46" w:rsidRPr="004D1094" w:rsidRDefault="005F2C46">
      <w:pPr>
        <w:pStyle w:val="Brdtext"/>
        <w:rPr>
          <w:lang w:val="en-GB"/>
        </w:rPr>
      </w:pPr>
    </w:p>
    <w:p w:rsidR="005F2C46" w:rsidRPr="004D1094" w:rsidRDefault="005F2C46">
      <w:pPr>
        <w:pStyle w:val="Rubrik1"/>
        <w:rPr>
          <w:lang w:val="en-GB"/>
        </w:rPr>
      </w:pPr>
      <w:r w:rsidRPr="004D1094">
        <w:rPr>
          <w:lang w:val="en-GB"/>
        </w:rPr>
        <w:t>References</w:t>
      </w:r>
    </w:p>
    <w:p w:rsidR="005F2C46" w:rsidRPr="004D1094" w:rsidRDefault="005F2C46">
      <w:pPr>
        <w:pStyle w:val="Brdtext"/>
        <w:rPr>
          <w:lang w:val="en-GB"/>
        </w:rPr>
      </w:pPr>
    </w:p>
    <w:p w:rsidR="00B9174B" w:rsidRPr="004D1094" w:rsidRDefault="00B9174B" w:rsidP="00B9174B">
      <w:pPr>
        <w:pStyle w:val="Brdtext"/>
        <w:numPr>
          <w:ilvl w:val="0"/>
          <w:numId w:val="5"/>
        </w:numPr>
        <w:ind w:left="426" w:hanging="426"/>
        <w:rPr>
          <w:lang w:val="en-GB"/>
        </w:rPr>
      </w:pPr>
      <w:bookmarkStart w:id="7" w:name="_Ref456773457"/>
      <w:r w:rsidRPr="004D1094">
        <w:rPr>
          <w:lang w:val="en-GB"/>
        </w:rPr>
        <w:t>BP,</w:t>
      </w:r>
      <w:r w:rsidR="005F2C46" w:rsidRPr="004D1094">
        <w:rPr>
          <w:lang w:val="en-GB"/>
        </w:rPr>
        <w:t xml:space="preserve"> </w:t>
      </w:r>
      <w:r w:rsidRPr="004D1094">
        <w:rPr>
          <w:i/>
          <w:lang w:val="en-GB"/>
        </w:rPr>
        <w:t>Statistical review of world energy</w:t>
      </w:r>
      <w:r w:rsidR="005F2C46" w:rsidRPr="004D1094">
        <w:rPr>
          <w:lang w:val="en-GB"/>
        </w:rPr>
        <w:t xml:space="preserve">, </w:t>
      </w:r>
      <w:r w:rsidR="00704530" w:rsidRPr="004D1094">
        <w:rPr>
          <w:lang w:val="en-GB"/>
        </w:rPr>
        <w:t>65th edition, June 2016</w:t>
      </w:r>
      <w:r w:rsidRPr="004D1094">
        <w:rPr>
          <w:lang w:val="en-GB"/>
        </w:rPr>
        <w:t>.</w:t>
      </w:r>
      <w:bookmarkEnd w:id="7"/>
    </w:p>
    <w:p w:rsidR="00076317" w:rsidRPr="004D1094" w:rsidRDefault="00076317" w:rsidP="003E3482">
      <w:pPr>
        <w:pStyle w:val="Brdtext"/>
        <w:numPr>
          <w:ilvl w:val="0"/>
          <w:numId w:val="5"/>
        </w:numPr>
        <w:ind w:left="426" w:hanging="426"/>
        <w:rPr>
          <w:lang w:val="en-GB"/>
        </w:rPr>
      </w:pPr>
      <w:bookmarkStart w:id="8" w:name="_Ref456773481"/>
      <w:r w:rsidRPr="004D1094">
        <w:rPr>
          <w:lang w:val="en-GB"/>
        </w:rPr>
        <w:t xml:space="preserve">OECD/IEA, </w:t>
      </w:r>
      <w:r w:rsidRPr="004D1094">
        <w:rPr>
          <w:i/>
          <w:lang w:val="en-GB"/>
        </w:rPr>
        <w:t>Medium-Term Gas Market Report 2016: Market Analysis and Forecasts to 2021</w:t>
      </w:r>
      <w:r w:rsidRPr="004D1094">
        <w:rPr>
          <w:lang w:val="en-GB"/>
        </w:rPr>
        <w:t>, 2016.</w:t>
      </w:r>
      <w:bookmarkStart w:id="9" w:name="_Ref456773484"/>
      <w:bookmarkEnd w:id="8"/>
    </w:p>
    <w:p w:rsidR="00B21BA8" w:rsidRPr="004D1094" w:rsidRDefault="00B8699A" w:rsidP="00B21BA8">
      <w:pPr>
        <w:pStyle w:val="Brdtext"/>
        <w:numPr>
          <w:ilvl w:val="0"/>
          <w:numId w:val="5"/>
        </w:numPr>
        <w:ind w:left="426" w:hanging="426"/>
        <w:rPr>
          <w:lang w:val="en-GB"/>
        </w:rPr>
      </w:pPr>
      <w:bookmarkStart w:id="10" w:name="_Ref456773568"/>
      <w:bookmarkEnd w:id="9"/>
      <w:r w:rsidRPr="004D1094">
        <w:rPr>
          <w:lang w:val="en-GB"/>
        </w:rPr>
        <w:t xml:space="preserve">GIIGNL, </w:t>
      </w:r>
      <w:r w:rsidRPr="004D1094">
        <w:rPr>
          <w:i/>
          <w:lang w:val="en-GB"/>
        </w:rPr>
        <w:t>LNG custody transfer handbook</w:t>
      </w:r>
      <w:r w:rsidRPr="004D1094">
        <w:rPr>
          <w:lang w:val="en-GB"/>
        </w:rPr>
        <w:t xml:space="preserve">, 4th edition </w:t>
      </w:r>
      <w:r w:rsidR="0002308E" w:rsidRPr="004D1094">
        <w:rPr>
          <w:lang w:val="en-GB"/>
        </w:rPr>
        <w:t>(</w:t>
      </w:r>
      <w:r w:rsidRPr="004D1094">
        <w:rPr>
          <w:lang w:val="en-GB"/>
        </w:rPr>
        <w:t>version 4.00</w:t>
      </w:r>
      <w:r w:rsidR="0002308E" w:rsidRPr="004D1094">
        <w:rPr>
          <w:lang w:val="en-GB"/>
        </w:rPr>
        <w:t>)</w:t>
      </w:r>
      <w:r w:rsidRPr="004D1094">
        <w:rPr>
          <w:lang w:val="en-GB"/>
        </w:rPr>
        <w:t>, Paris</w:t>
      </w:r>
      <w:r w:rsidR="00076317" w:rsidRPr="004D1094">
        <w:rPr>
          <w:lang w:val="en-GB"/>
        </w:rPr>
        <w:t>, 201</w:t>
      </w:r>
      <w:r w:rsidRPr="004D1094">
        <w:rPr>
          <w:lang w:val="en-GB"/>
        </w:rPr>
        <w:t>5</w:t>
      </w:r>
      <w:r w:rsidR="003D6491" w:rsidRPr="004D1094">
        <w:rPr>
          <w:lang w:val="en-GB"/>
        </w:rPr>
        <w:t>.</w:t>
      </w:r>
      <w:bookmarkEnd w:id="10"/>
    </w:p>
    <w:p w:rsidR="00B21BA8" w:rsidRPr="00760F3D" w:rsidRDefault="00076317" w:rsidP="00B21BA8">
      <w:pPr>
        <w:pStyle w:val="Brdtext"/>
        <w:numPr>
          <w:ilvl w:val="0"/>
          <w:numId w:val="5"/>
        </w:numPr>
        <w:ind w:left="426" w:hanging="426"/>
        <w:rPr>
          <w:lang w:val="de-DE"/>
        </w:rPr>
      </w:pPr>
      <w:bookmarkStart w:id="11" w:name="_Ref456774012"/>
      <w:r w:rsidRPr="00760F3D">
        <w:rPr>
          <w:lang w:val="de-DE"/>
        </w:rPr>
        <w:t xml:space="preserve">Forschungsvereinigung </w:t>
      </w:r>
      <w:proofErr w:type="spellStart"/>
      <w:r w:rsidRPr="00760F3D">
        <w:rPr>
          <w:lang w:val="de-DE"/>
        </w:rPr>
        <w:t>Verbrennungskraftmaschi-nen</w:t>
      </w:r>
      <w:proofErr w:type="spellEnd"/>
      <w:r w:rsidRPr="00760F3D">
        <w:rPr>
          <w:lang w:val="de-DE"/>
        </w:rPr>
        <w:t xml:space="preserve"> e.V., </w:t>
      </w:r>
      <w:r w:rsidR="00255D42" w:rsidRPr="00760F3D">
        <w:rPr>
          <w:i/>
          <w:lang w:val="de-DE"/>
        </w:rPr>
        <w:t>Erweiterung der Energieerzeugung durch Kraftgase</w:t>
      </w:r>
      <w:r w:rsidRPr="00760F3D">
        <w:rPr>
          <w:lang w:val="de-DE"/>
        </w:rPr>
        <w:t>, Teil 1-3, Forschungsberichte Verbrennungskraftmaschinen, Heft 81-82</w:t>
      </w:r>
      <w:r w:rsidR="006873CB" w:rsidRPr="00760F3D">
        <w:rPr>
          <w:lang w:val="de-DE"/>
        </w:rPr>
        <w:t xml:space="preserve"> &amp; </w:t>
      </w:r>
      <w:r w:rsidRPr="00760F3D">
        <w:rPr>
          <w:lang w:val="de-DE"/>
        </w:rPr>
        <w:t>120, Frankfurt/Main – Niederrad, 1968-1971</w:t>
      </w:r>
      <w:r w:rsidR="003D6491" w:rsidRPr="00760F3D">
        <w:rPr>
          <w:lang w:val="de-DE"/>
        </w:rPr>
        <w:t>.</w:t>
      </w:r>
      <w:bookmarkEnd w:id="11"/>
    </w:p>
    <w:p w:rsidR="00B21BA8" w:rsidRPr="004D1094" w:rsidRDefault="006F4B75" w:rsidP="00B21BA8">
      <w:pPr>
        <w:pStyle w:val="Brdtext"/>
        <w:numPr>
          <w:ilvl w:val="0"/>
          <w:numId w:val="5"/>
        </w:numPr>
        <w:ind w:left="426" w:hanging="426"/>
        <w:rPr>
          <w:lang w:val="en-GB"/>
        </w:rPr>
      </w:pPr>
      <w:bookmarkStart w:id="12" w:name="_Ref456774046"/>
      <w:r w:rsidRPr="004D1094">
        <w:rPr>
          <w:lang w:val="en-GB"/>
        </w:rPr>
        <w:t xml:space="preserve">European </w:t>
      </w:r>
      <w:r w:rsidR="00A639FE" w:rsidRPr="004D1094">
        <w:rPr>
          <w:lang w:val="en-GB"/>
        </w:rPr>
        <w:t>c</w:t>
      </w:r>
      <w:r w:rsidRPr="004D1094">
        <w:rPr>
          <w:lang w:val="en-GB"/>
        </w:rPr>
        <w:t xml:space="preserve">ommittee </w:t>
      </w:r>
      <w:r w:rsidR="00A639FE" w:rsidRPr="004D1094">
        <w:rPr>
          <w:lang w:val="en-GB"/>
        </w:rPr>
        <w:t>for s</w:t>
      </w:r>
      <w:r w:rsidRPr="004D1094">
        <w:rPr>
          <w:lang w:val="en-GB"/>
        </w:rPr>
        <w:t xml:space="preserve">tandardization, </w:t>
      </w:r>
      <w:proofErr w:type="spellStart"/>
      <w:r w:rsidRPr="004D1094">
        <w:rPr>
          <w:lang w:val="en-GB"/>
        </w:rPr>
        <w:t>prEN</w:t>
      </w:r>
      <w:proofErr w:type="spellEnd"/>
      <w:r w:rsidRPr="004D1094">
        <w:rPr>
          <w:lang w:val="en-GB"/>
        </w:rPr>
        <w:t xml:space="preserve"> 16726:2014, </w:t>
      </w:r>
      <w:r w:rsidRPr="004D1094">
        <w:rPr>
          <w:i/>
          <w:lang w:val="en-GB"/>
        </w:rPr>
        <w:t>Gas infrastructure – Quality of gas – Group H</w:t>
      </w:r>
      <w:r w:rsidRPr="004D1094">
        <w:rPr>
          <w:lang w:val="en-GB"/>
        </w:rPr>
        <w:t>, Brussels, May 2014.</w:t>
      </w:r>
      <w:bookmarkEnd w:id="12"/>
    </w:p>
    <w:p w:rsidR="006F4B75" w:rsidRPr="004D1094" w:rsidRDefault="006F4B75" w:rsidP="00B21BA8">
      <w:pPr>
        <w:pStyle w:val="Brdtext"/>
        <w:numPr>
          <w:ilvl w:val="0"/>
          <w:numId w:val="5"/>
        </w:numPr>
        <w:ind w:left="426" w:hanging="426"/>
        <w:rPr>
          <w:lang w:val="en-GB"/>
        </w:rPr>
      </w:pPr>
      <w:bookmarkStart w:id="13" w:name="_Ref456774077"/>
      <w:r w:rsidRPr="004D1094">
        <w:rPr>
          <w:lang w:val="en-GB"/>
        </w:rPr>
        <w:t xml:space="preserve">Paw Andersen, </w:t>
      </w:r>
      <w:r w:rsidRPr="004D1094">
        <w:rPr>
          <w:i/>
          <w:lang w:val="en-GB"/>
        </w:rPr>
        <w:t>Algorithm for methane number determination for natural gases</w:t>
      </w:r>
      <w:r w:rsidRPr="004D1094">
        <w:rPr>
          <w:lang w:val="en-GB"/>
        </w:rPr>
        <w:t>, Project Report, Danish Gas Technology Centre a/s, 1999.</w:t>
      </w:r>
      <w:bookmarkEnd w:id="13"/>
    </w:p>
    <w:p w:rsidR="006F4B75" w:rsidRPr="004D1094" w:rsidRDefault="006F4B75" w:rsidP="00B21BA8">
      <w:pPr>
        <w:pStyle w:val="Brdtext"/>
        <w:numPr>
          <w:ilvl w:val="0"/>
          <w:numId w:val="5"/>
        </w:numPr>
        <w:ind w:left="426" w:hanging="426"/>
        <w:rPr>
          <w:lang w:val="en-GB"/>
        </w:rPr>
      </w:pPr>
      <w:bookmarkStart w:id="14" w:name="_Ref456774137"/>
      <w:r w:rsidRPr="004D1094">
        <w:rPr>
          <w:lang w:val="en-GB"/>
        </w:rPr>
        <w:t>Richter et al.,</w:t>
      </w:r>
      <w:r w:rsidR="00AE583A" w:rsidRPr="004D1094">
        <w:rPr>
          <w:lang w:val="en-GB"/>
        </w:rPr>
        <w:t xml:space="preserve"> </w:t>
      </w:r>
      <w:r w:rsidR="00AE583A" w:rsidRPr="004D1094">
        <w:rPr>
          <w:i/>
          <w:lang w:val="en-GB"/>
        </w:rPr>
        <w:t>Development of a special single-sinker densimeter for cryogenic liquid mixtures and first results for a liquefied natural gas (LNG)</w:t>
      </w:r>
      <w:r w:rsidR="00AE583A" w:rsidRPr="004D1094">
        <w:rPr>
          <w:lang w:val="en-GB"/>
        </w:rPr>
        <w:t>,</w:t>
      </w:r>
      <w:r w:rsidRPr="004D1094">
        <w:rPr>
          <w:lang w:val="en-GB"/>
        </w:rPr>
        <w:t xml:space="preserve"> J. Chem. Thermodynamics 93 (2016) 205–221.</w:t>
      </w:r>
      <w:bookmarkEnd w:id="14"/>
    </w:p>
    <w:p w:rsidR="006E6879" w:rsidRPr="004D1094" w:rsidRDefault="006F4B75" w:rsidP="006E6879">
      <w:pPr>
        <w:pStyle w:val="Brdtext"/>
        <w:numPr>
          <w:ilvl w:val="0"/>
          <w:numId w:val="5"/>
        </w:numPr>
        <w:ind w:left="426" w:hanging="426"/>
        <w:rPr>
          <w:lang w:val="en-GB"/>
        </w:rPr>
      </w:pPr>
      <w:bookmarkStart w:id="15" w:name="_Ref456774154"/>
      <w:r w:rsidRPr="004D1094">
        <w:rPr>
          <w:lang w:val="en-GB"/>
        </w:rPr>
        <w:t xml:space="preserve">O. Kunz, W. Wagner, </w:t>
      </w:r>
      <w:proofErr w:type="gramStart"/>
      <w:r w:rsidR="00121BF7" w:rsidRPr="004D1094">
        <w:rPr>
          <w:i/>
          <w:lang w:val="en-GB"/>
        </w:rPr>
        <w:t>The</w:t>
      </w:r>
      <w:proofErr w:type="gramEnd"/>
      <w:r w:rsidR="00121BF7" w:rsidRPr="004D1094">
        <w:rPr>
          <w:i/>
          <w:lang w:val="en-GB"/>
        </w:rPr>
        <w:t xml:space="preserve"> GERG-2008 Wide-Range Equation of State for Natural Gases and Other Mixtures: An Expansion of GERG-2004</w:t>
      </w:r>
      <w:r w:rsidR="00121BF7" w:rsidRPr="004D1094">
        <w:rPr>
          <w:lang w:val="en-GB"/>
        </w:rPr>
        <w:t xml:space="preserve">, </w:t>
      </w:r>
      <w:r w:rsidR="00121BF7" w:rsidRPr="004D1094">
        <w:rPr>
          <w:lang w:val="en-GB"/>
        </w:rPr>
        <w:br/>
      </w:r>
      <w:r w:rsidRPr="004D1094">
        <w:rPr>
          <w:lang w:val="en-GB"/>
        </w:rPr>
        <w:t>J. Chem. Eng. Data 57 (2012) 3032–3091.</w:t>
      </w:r>
      <w:bookmarkEnd w:id="15"/>
    </w:p>
    <w:p w:rsidR="007274FF" w:rsidRPr="004D1094" w:rsidRDefault="006E6879" w:rsidP="006E6879">
      <w:pPr>
        <w:pStyle w:val="Brdtext"/>
        <w:numPr>
          <w:ilvl w:val="0"/>
          <w:numId w:val="5"/>
        </w:numPr>
        <w:ind w:left="426" w:hanging="426"/>
        <w:rPr>
          <w:lang w:val="en-GB"/>
        </w:rPr>
      </w:pPr>
      <w:bookmarkStart w:id="16" w:name="_Ref456791874"/>
      <w:r w:rsidRPr="004D1094">
        <w:rPr>
          <w:lang w:val="en-GB"/>
        </w:rPr>
        <w:t xml:space="preserve">S. Lago, </w:t>
      </w:r>
      <w:r w:rsidR="005E3926" w:rsidRPr="004D1094">
        <w:rPr>
          <w:lang w:val="en-GB"/>
        </w:rPr>
        <w:t xml:space="preserve">P.A. Giuliano </w:t>
      </w:r>
      <w:r w:rsidR="005E3926" w:rsidRPr="004D1094">
        <w:rPr>
          <w:bCs/>
          <w:lang w:val="en-GB"/>
        </w:rPr>
        <w:t>Albo</w:t>
      </w:r>
      <w:r w:rsidRPr="004D1094">
        <w:rPr>
          <w:lang w:val="en-GB"/>
        </w:rPr>
        <w:t xml:space="preserve">, </w:t>
      </w:r>
      <w:r w:rsidRPr="004D1094">
        <w:rPr>
          <w:i/>
          <w:lang w:val="en-GB"/>
        </w:rPr>
        <w:t>A Novel On-Line Ultrasonic Sensor for Simultaneous Density and Speed of Sound Measurements in High Pressure Fluids</w:t>
      </w:r>
      <w:r w:rsidRPr="004D1094">
        <w:rPr>
          <w:lang w:val="en-GB"/>
        </w:rPr>
        <w:t xml:space="preserve">, 19th Symposium on </w:t>
      </w:r>
      <w:proofErr w:type="spellStart"/>
      <w:r w:rsidRPr="004D1094">
        <w:rPr>
          <w:lang w:val="en-GB"/>
        </w:rPr>
        <w:t>Thermophysical</w:t>
      </w:r>
      <w:proofErr w:type="spellEnd"/>
      <w:r w:rsidRPr="004D1094">
        <w:rPr>
          <w:lang w:val="en-GB"/>
        </w:rPr>
        <w:t xml:space="preserve"> Properties, Boulder, CO, USA, 21-26 June 2015.</w:t>
      </w:r>
      <w:bookmarkEnd w:id="16"/>
    </w:p>
    <w:sectPr w:rsidR="007274FF" w:rsidRPr="004D1094" w:rsidSect="00A86C33">
      <w:footerReference w:type="default" r:id="rId15"/>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8C" w:rsidRDefault="00792C8C" w:rsidP="00B370F7">
      <w:r>
        <w:separator/>
      </w:r>
    </w:p>
  </w:endnote>
  <w:endnote w:type="continuationSeparator" w:id="0">
    <w:p w:rsidR="00792C8C" w:rsidRDefault="00792C8C"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Sidfot"/>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81694F">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Sidfot"/>
      <w:tabs>
        <w:tab w:val="right" w:pos="9781"/>
      </w:tabs>
      <w:rPr>
        <w:sz w:val="20"/>
      </w:rPr>
    </w:pPr>
  </w:p>
  <w:p w:rsidR="00250D41" w:rsidRPr="00B370F7" w:rsidRDefault="00A217DA" w:rsidP="00250D41">
    <w:pPr>
      <w:pStyle w:val="Sidfot"/>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9F24B6">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8C" w:rsidRDefault="00792C8C" w:rsidP="00B370F7">
      <w:r>
        <w:separator/>
      </w:r>
    </w:p>
  </w:footnote>
  <w:footnote w:type="continuationSeparator" w:id="0">
    <w:p w:rsidR="00792C8C" w:rsidRDefault="00792C8C"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208B"/>
    <w:rsid w:val="00002D32"/>
    <w:rsid w:val="00006CAA"/>
    <w:rsid w:val="000112E5"/>
    <w:rsid w:val="000134C2"/>
    <w:rsid w:val="00015C64"/>
    <w:rsid w:val="0001635D"/>
    <w:rsid w:val="00021304"/>
    <w:rsid w:val="0002308E"/>
    <w:rsid w:val="00024182"/>
    <w:rsid w:val="00027F4C"/>
    <w:rsid w:val="00031039"/>
    <w:rsid w:val="000331B9"/>
    <w:rsid w:val="000334FC"/>
    <w:rsid w:val="00035924"/>
    <w:rsid w:val="00037AEE"/>
    <w:rsid w:val="00037BBC"/>
    <w:rsid w:val="0004385C"/>
    <w:rsid w:val="000439AA"/>
    <w:rsid w:val="000448FB"/>
    <w:rsid w:val="00045197"/>
    <w:rsid w:val="000509BB"/>
    <w:rsid w:val="00050F6B"/>
    <w:rsid w:val="00053778"/>
    <w:rsid w:val="00053B29"/>
    <w:rsid w:val="00056A62"/>
    <w:rsid w:val="00057CFB"/>
    <w:rsid w:val="0006132C"/>
    <w:rsid w:val="000621E5"/>
    <w:rsid w:val="000632F1"/>
    <w:rsid w:val="00063896"/>
    <w:rsid w:val="00063BDE"/>
    <w:rsid w:val="0006483B"/>
    <w:rsid w:val="00071606"/>
    <w:rsid w:val="0007495B"/>
    <w:rsid w:val="00076317"/>
    <w:rsid w:val="00077C56"/>
    <w:rsid w:val="000804B2"/>
    <w:rsid w:val="000813A2"/>
    <w:rsid w:val="0008474C"/>
    <w:rsid w:val="0008495A"/>
    <w:rsid w:val="00085EED"/>
    <w:rsid w:val="00085F1A"/>
    <w:rsid w:val="000867CE"/>
    <w:rsid w:val="000903DF"/>
    <w:rsid w:val="00090D58"/>
    <w:rsid w:val="00097658"/>
    <w:rsid w:val="000A064A"/>
    <w:rsid w:val="000A0987"/>
    <w:rsid w:val="000A475C"/>
    <w:rsid w:val="000A759C"/>
    <w:rsid w:val="000B2539"/>
    <w:rsid w:val="000B35FD"/>
    <w:rsid w:val="000B4DBF"/>
    <w:rsid w:val="000C1AFF"/>
    <w:rsid w:val="000C58A7"/>
    <w:rsid w:val="000C60CD"/>
    <w:rsid w:val="000D0FB3"/>
    <w:rsid w:val="000D5196"/>
    <w:rsid w:val="000E0D2D"/>
    <w:rsid w:val="000E2989"/>
    <w:rsid w:val="000E2DC8"/>
    <w:rsid w:val="000E43D5"/>
    <w:rsid w:val="000F129C"/>
    <w:rsid w:val="000F3009"/>
    <w:rsid w:val="000F3549"/>
    <w:rsid w:val="00100739"/>
    <w:rsid w:val="0010129E"/>
    <w:rsid w:val="001012F2"/>
    <w:rsid w:val="00101FEE"/>
    <w:rsid w:val="001062B0"/>
    <w:rsid w:val="0011045C"/>
    <w:rsid w:val="00113D47"/>
    <w:rsid w:val="00114F37"/>
    <w:rsid w:val="001151CC"/>
    <w:rsid w:val="00116CE9"/>
    <w:rsid w:val="00117CA2"/>
    <w:rsid w:val="00121BF7"/>
    <w:rsid w:val="00124896"/>
    <w:rsid w:val="00124D04"/>
    <w:rsid w:val="00125439"/>
    <w:rsid w:val="00126FA1"/>
    <w:rsid w:val="001274C2"/>
    <w:rsid w:val="00127888"/>
    <w:rsid w:val="001279D1"/>
    <w:rsid w:val="00131A2C"/>
    <w:rsid w:val="0013702C"/>
    <w:rsid w:val="00141230"/>
    <w:rsid w:val="0014550A"/>
    <w:rsid w:val="0015096C"/>
    <w:rsid w:val="001516AA"/>
    <w:rsid w:val="00155573"/>
    <w:rsid w:val="00160FDF"/>
    <w:rsid w:val="001638EA"/>
    <w:rsid w:val="00165A48"/>
    <w:rsid w:val="00166BE1"/>
    <w:rsid w:val="00170BC4"/>
    <w:rsid w:val="0017679A"/>
    <w:rsid w:val="0017717E"/>
    <w:rsid w:val="00182880"/>
    <w:rsid w:val="00184302"/>
    <w:rsid w:val="001847BE"/>
    <w:rsid w:val="00184E0A"/>
    <w:rsid w:val="00193862"/>
    <w:rsid w:val="00194383"/>
    <w:rsid w:val="00196B76"/>
    <w:rsid w:val="001A20DB"/>
    <w:rsid w:val="001A48D9"/>
    <w:rsid w:val="001A4DBD"/>
    <w:rsid w:val="001A6636"/>
    <w:rsid w:val="001A6F12"/>
    <w:rsid w:val="001A7928"/>
    <w:rsid w:val="001B0E1F"/>
    <w:rsid w:val="001B2C54"/>
    <w:rsid w:val="001B2F81"/>
    <w:rsid w:val="001B3404"/>
    <w:rsid w:val="001B796D"/>
    <w:rsid w:val="001C005C"/>
    <w:rsid w:val="001C0AF9"/>
    <w:rsid w:val="001C7041"/>
    <w:rsid w:val="001C741A"/>
    <w:rsid w:val="001C7981"/>
    <w:rsid w:val="001D3410"/>
    <w:rsid w:val="001D3B12"/>
    <w:rsid w:val="001D7D10"/>
    <w:rsid w:val="001E23B3"/>
    <w:rsid w:val="001E3BAD"/>
    <w:rsid w:val="001E4CF7"/>
    <w:rsid w:val="001E6F2D"/>
    <w:rsid w:val="001E7D52"/>
    <w:rsid w:val="001F1EBE"/>
    <w:rsid w:val="001F3DE1"/>
    <w:rsid w:val="001F3FCD"/>
    <w:rsid w:val="001F65C3"/>
    <w:rsid w:val="001F752A"/>
    <w:rsid w:val="00203DE2"/>
    <w:rsid w:val="002045D7"/>
    <w:rsid w:val="0020735C"/>
    <w:rsid w:val="00207EB9"/>
    <w:rsid w:val="0021031F"/>
    <w:rsid w:val="00211ADF"/>
    <w:rsid w:val="00213072"/>
    <w:rsid w:val="00216389"/>
    <w:rsid w:val="00220B2C"/>
    <w:rsid w:val="00225BF6"/>
    <w:rsid w:val="00230A2C"/>
    <w:rsid w:val="00230DC7"/>
    <w:rsid w:val="00232418"/>
    <w:rsid w:val="00233D40"/>
    <w:rsid w:val="00234B8C"/>
    <w:rsid w:val="00235727"/>
    <w:rsid w:val="00235843"/>
    <w:rsid w:val="00240A11"/>
    <w:rsid w:val="00243E15"/>
    <w:rsid w:val="00250609"/>
    <w:rsid w:val="00250D41"/>
    <w:rsid w:val="002553C0"/>
    <w:rsid w:val="00255D42"/>
    <w:rsid w:val="00261F5D"/>
    <w:rsid w:val="00263B6D"/>
    <w:rsid w:val="002671CE"/>
    <w:rsid w:val="002716BB"/>
    <w:rsid w:val="00271F9B"/>
    <w:rsid w:val="00273E67"/>
    <w:rsid w:val="002748BA"/>
    <w:rsid w:val="00276B6F"/>
    <w:rsid w:val="0028143A"/>
    <w:rsid w:val="00285F03"/>
    <w:rsid w:val="002916FA"/>
    <w:rsid w:val="00291DC9"/>
    <w:rsid w:val="002929C6"/>
    <w:rsid w:val="002A31EC"/>
    <w:rsid w:val="002A3BD5"/>
    <w:rsid w:val="002A73B9"/>
    <w:rsid w:val="002B1D0C"/>
    <w:rsid w:val="002B3463"/>
    <w:rsid w:val="002B5904"/>
    <w:rsid w:val="002B6A91"/>
    <w:rsid w:val="002D1618"/>
    <w:rsid w:val="002D4AFA"/>
    <w:rsid w:val="002D4BE2"/>
    <w:rsid w:val="002D79D1"/>
    <w:rsid w:val="002E2386"/>
    <w:rsid w:val="002F16E1"/>
    <w:rsid w:val="002F17DD"/>
    <w:rsid w:val="002F1A8C"/>
    <w:rsid w:val="002F31E4"/>
    <w:rsid w:val="002F560C"/>
    <w:rsid w:val="00301683"/>
    <w:rsid w:val="00301CF8"/>
    <w:rsid w:val="00312850"/>
    <w:rsid w:val="00313537"/>
    <w:rsid w:val="00314525"/>
    <w:rsid w:val="00315DDC"/>
    <w:rsid w:val="003161DE"/>
    <w:rsid w:val="00320A73"/>
    <w:rsid w:val="0032152D"/>
    <w:rsid w:val="003254D6"/>
    <w:rsid w:val="00325FDE"/>
    <w:rsid w:val="00327C8E"/>
    <w:rsid w:val="003335B8"/>
    <w:rsid w:val="00333AAB"/>
    <w:rsid w:val="00334552"/>
    <w:rsid w:val="00336011"/>
    <w:rsid w:val="00336A2A"/>
    <w:rsid w:val="003415F8"/>
    <w:rsid w:val="0034170F"/>
    <w:rsid w:val="00342212"/>
    <w:rsid w:val="00345CFA"/>
    <w:rsid w:val="00346DD9"/>
    <w:rsid w:val="003507D5"/>
    <w:rsid w:val="003511DB"/>
    <w:rsid w:val="00351ED7"/>
    <w:rsid w:val="003541AE"/>
    <w:rsid w:val="003570E1"/>
    <w:rsid w:val="00361E01"/>
    <w:rsid w:val="00363977"/>
    <w:rsid w:val="003669B3"/>
    <w:rsid w:val="003715F2"/>
    <w:rsid w:val="00372DCA"/>
    <w:rsid w:val="003739D5"/>
    <w:rsid w:val="00376B72"/>
    <w:rsid w:val="0038201A"/>
    <w:rsid w:val="003854BB"/>
    <w:rsid w:val="0039651A"/>
    <w:rsid w:val="003A29FB"/>
    <w:rsid w:val="003A36A6"/>
    <w:rsid w:val="003A65F4"/>
    <w:rsid w:val="003A6973"/>
    <w:rsid w:val="003A75F2"/>
    <w:rsid w:val="003B367A"/>
    <w:rsid w:val="003B40CC"/>
    <w:rsid w:val="003B6035"/>
    <w:rsid w:val="003B7F1A"/>
    <w:rsid w:val="003C0BF7"/>
    <w:rsid w:val="003C3DA6"/>
    <w:rsid w:val="003C7D23"/>
    <w:rsid w:val="003D0D3D"/>
    <w:rsid w:val="003D1C12"/>
    <w:rsid w:val="003D6491"/>
    <w:rsid w:val="003E095D"/>
    <w:rsid w:val="003E25C4"/>
    <w:rsid w:val="003E3482"/>
    <w:rsid w:val="003E5FC5"/>
    <w:rsid w:val="003E64CB"/>
    <w:rsid w:val="003E70BC"/>
    <w:rsid w:val="003E7322"/>
    <w:rsid w:val="003F006A"/>
    <w:rsid w:val="003F1201"/>
    <w:rsid w:val="003F125D"/>
    <w:rsid w:val="003F1954"/>
    <w:rsid w:val="003F6ADF"/>
    <w:rsid w:val="00405069"/>
    <w:rsid w:val="004050F3"/>
    <w:rsid w:val="00407D09"/>
    <w:rsid w:val="00413CC2"/>
    <w:rsid w:val="004142AA"/>
    <w:rsid w:val="00414E4F"/>
    <w:rsid w:val="004165F6"/>
    <w:rsid w:val="00416B3D"/>
    <w:rsid w:val="00416E76"/>
    <w:rsid w:val="004277F8"/>
    <w:rsid w:val="004329B8"/>
    <w:rsid w:val="00434202"/>
    <w:rsid w:val="0043422C"/>
    <w:rsid w:val="00437C89"/>
    <w:rsid w:val="00444CBE"/>
    <w:rsid w:val="0044611B"/>
    <w:rsid w:val="004461D8"/>
    <w:rsid w:val="00450620"/>
    <w:rsid w:val="00450ECC"/>
    <w:rsid w:val="004513FA"/>
    <w:rsid w:val="00465811"/>
    <w:rsid w:val="00467B3B"/>
    <w:rsid w:val="0047167A"/>
    <w:rsid w:val="0047179A"/>
    <w:rsid w:val="00471B45"/>
    <w:rsid w:val="00473133"/>
    <w:rsid w:val="0047585E"/>
    <w:rsid w:val="00475D78"/>
    <w:rsid w:val="0047694F"/>
    <w:rsid w:val="00477303"/>
    <w:rsid w:val="00480D4D"/>
    <w:rsid w:val="004815B4"/>
    <w:rsid w:val="00481C7F"/>
    <w:rsid w:val="00486BAD"/>
    <w:rsid w:val="00487F0D"/>
    <w:rsid w:val="00490829"/>
    <w:rsid w:val="00490E1C"/>
    <w:rsid w:val="004949DC"/>
    <w:rsid w:val="00495BBE"/>
    <w:rsid w:val="00496BE4"/>
    <w:rsid w:val="004A1485"/>
    <w:rsid w:val="004A2854"/>
    <w:rsid w:val="004A2996"/>
    <w:rsid w:val="004A346C"/>
    <w:rsid w:val="004A58D6"/>
    <w:rsid w:val="004A6768"/>
    <w:rsid w:val="004B1175"/>
    <w:rsid w:val="004B5C0B"/>
    <w:rsid w:val="004C0450"/>
    <w:rsid w:val="004C214D"/>
    <w:rsid w:val="004C4CE6"/>
    <w:rsid w:val="004C54E0"/>
    <w:rsid w:val="004C750A"/>
    <w:rsid w:val="004D1094"/>
    <w:rsid w:val="004D1A5E"/>
    <w:rsid w:val="004D1B76"/>
    <w:rsid w:val="004D2803"/>
    <w:rsid w:val="004D61C4"/>
    <w:rsid w:val="004D6A84"/>
    <w:rsid w:val="004E1F7A"/>
    <w:rsid w:val="004E2CE8"/>
    <w:rsid w:val="004F01D1"/>
    <w:rsid w:val="004F20DB"/>
    <w:rsid w:val="004F5DC0"/>
    <w:rsid w:val="004F66EF"/>
    <w:rsid w:val="005002F5"/>
    <w:rsid w:val="0050096D"/>
    <w:rsid w:val="00501CDD"/>
    <w:rsid w:val="005065DC"/>
    <w:rsid w:val="0050696C"/>
    <w:rsid w:val="0051178A"/>
    <w:rsid w:val="00512664"/>
    <w:rsid w:val="00512EFC"/>
    <w:rsid w:val="00514C9C"/>
    <w:rsid w:val="00515B6C"/>
    <w:rsid w:val="00516D38"/>
    <w:rsid w:val="005233EC"/>
    <w:rsid w:val="005251CB"/>
    <w:rsid w:val="00526AC0"/>
    <w:rsid w:val="005300F0"/>
    <w:rsid w:val="00530F65"/>
    <w:rsid w:val="00534328"/>
    <w:rsid w:val="00535833"/>
    <w:rsid w:val="005367CD"/>
    <w:rsid w:val="00536E98"/>
    <w:rsid w:val="00537B4A"/>
    <w:rsid w:val="00543EE4"/>
    <w:rsid w:val="00545348"/>
    <w:rsid w:val="005455F6"/>
    <w:rsid w:val="0055414F"/>
    <w:rsid w:val="00554AE2"/>
    <w:rsid w:val="00557A51"/>
    <w:rsid w:val="005618B9"/>
    <w:rsid w:val="0056448C"/>
    <w:rsid w:val="005674DC"/>
    <w:rsid w:val="00572DF5"/>
    <w:rsid w:val="00574EE8"/>
    <w:rsid w:val="00580033"/>
    <w:rsid w:val="00584956"/>
    <w:rsid w:val="00584C95"/>
    <w:rsid w:val="0059048F"/>
    <w:rsid w:val="005912E1"/>
    <w:rsid w:val="00592348"/>
    <w:rsid w:val="0059323D"/>
    <w:rsid w:val="0059674D"/>
    <w:rsid w:val="00596875"/>
    <w:rsid w:val="00597926"/>
    <w:rsid w:val="005A16D5"/>
    <w:rsid w:val="005A2DCF"/>
    <w:rsid w:val="005B0158"/>
    <w:rsid w:val="005B060F"/>
    <w:rsid w:val="005B0EB6"/>
    <w:rsid w:val="005B325E"/>
    <w:rsid w:val="005B354C"/>
    <w:rsid w:val="005B3B20"/>
    <w:rsid w:val="005B4132"/>
    <w:rsid w:val="005B4405"/>
    <w:rsid w:val="005B4AF6"/>
    <w:rsid w:val="005B539C"/>
    <w:rsid w:val="005C07BE"/>
    <w:rsid w:val="005C09E8"/>
    <w:rsid w:val="005C2B12"/>
    <w:rsid w:val="005C33E7"/>
    <w:rsid w:val="005C647F"/>
    <w:rsid w:val="005D0EFF"/>
    <w:rsid w:val="005D1CFC"/>
    <w:rsid w:val="005E0D14"/>
    <w:rsid w:val="005E3926"/>
    <w:rsid w:val="005E4765"/>
    <w:rsid w:val="005F008C"/>
    <w:rsid w:val="005F1256"/>
    <w:rsid w:val="005F1C34"/>
    <w:rsid w:val="005F2C46"/>
    <w:rsid w:val="005F566C"/>
    <w:rsid w:val="005F5840"/>
    <w:rsid w:val="005F5A33"/>
    <w:rsid w:val="00602CDE"/>
    <w:rsid w:val="00604AD1"/>
    <w:rsid w:val="00604BA6"/>
    <w:rsid w:val="00606269"/>
    <w:rsid w:val="00612993"/>
    <w:rsid w:val="006129FE"/>
    <w:rsid w:val="00617DD4"/>
    <w:rsid w:val="006248F6"/>
    <w:rsid w:val="00631ACD"/>
    <w:rsid w:val="00632EF9"/>
    <w:rsid w:val="00635374"/>
    <w:rsid w:val="00635745"/>
    <w:rsid w:val="00637858"/>
    <w:rsid w:val="00640DE4"/>
    <w:rsid w:val="00641DAC"/>
    <w:rsid w:val="00647573"/>
    <w:rsid w:val="006507C2"/>
    <w:rsid w:val="00650C3B"/>
    <w:rsid w:val="00650CD0"/>
    <w:rsid w:val="00651FC1"/>
    <w:rsid w:val="00657F17"/>
    <w:rsid w:val="00660B88"/>
    <w:rsid w:val="0066133F"/>
    <w:rsid w:val="00665D58"/>
    <w:rsid w:val="00665D9D"/>
    <w:rsid w:val="00666453"/>
    <w:rsid w:val="00666F60"/>
    <w:rsid w:val="00672D22"/>
    <w:rsid w:val="00675BE9"/>
    <w:rsid w:val="00675E44"/>
    <w:rsid w:val="0068002E"/>
    <w:rsid w:val="00681241"/>
    <w:rsid w:val="006813CA"/>
    <w:rsid w:val="006871AF"/>
    <w:rsid w:val="006873CB"/>
    <w:rsid w:val="006909FE"/>
    <w:rsid w:val="006925C2"/>
    <w:rsid w:val="006929DB"/>
    <w:rsid w:val="00693965"/>
    <w:rsid w:val="00696061"/>
    <w:rsid w:val="00696501"/>
    <w:rsid w:val="00696706"/>
    <w:rsid w:val="006A21EF"/>
    <w:rsid w:val="006A3517"/>
    <w:rsid w:val="006A3EB8"/>
    <w:rsid w:val="006A592D"/>
    <w:rsid w:val="006B1BAB"/>
    <w:rsid w:val="006B6575"/>
    <w:rsid w:val="006B7132"/>
    <w:rsid w:val="006B7710"/>
    <w:rsid w:val="006C08AC"/>
    <w:rsid w:val="006C268E"/>
    <w:rsid w:val="006C6D60"/>
    <w:rsid w:val="006E00EE"/>
    <w:rsid w:val="006E1A40"/>
    <w:rsid w:val="006E1E61"/>
    <w:rsid w:val="006E5267"/>
    <w:rsid w:val="006E6879"/>
    <w:rsid w:val="006E6AAD"/>
    <w:rsid w:val="006F12BB"/>
    <w:rsid w:val="006F44A9"/>
    <w:rsid w:val="006F4B75"/>
    <w:rsid w:val="006F5426"/>
    <w:rsid w:val="006F5673"/>
    <w:rsid w:val="006F717D"/>
    <w:rsid w:val="007021A7"/>
    <w:rsid w:val="00704226"/>
    <w:rsid w:val="00704530"/>
    <w:rsid w:val="00704FA4"/>
    <w:rsid w:val="00705247"/>
    <w:rsid w:val="00706568"/>
    <w:rsid w:val="00707FC6"/>
    <w:rsid w:val="00710401"/>
    <w:rsid w:val="00710DF7"/>
    <w:rsid w:val="00720282"/>
    <w:rsid w:val="00721E7A"/>
    <w:rsid w:val="00724E48"/>
    <w:rsid w:val="00725255"/>
    <w:rsid w:val="007274FF"/>
    <w:rsid w:val="00727E80"/>
    <w:rsid w:val="00730CA3"/>
    <w:rsid w:val="00737897"/>
    <w:rsid w:val="007414E5"/>
    <w:rsid w:val="00744C04"/>
    <w:rsid w:val="00745B3B"/>
    <w:rsid w:val="00754808"/>
    <w:rsid w:val="00756605"/>
    <w:rsid w:val="00760F3D"/>
    <w:rsid w:val="00761899"/>
    <w:rsid w:val="00770DA2"/>
    <w:rsid w:val="00775DD9"/>
    <w:rsid w:val="00776496"/>
    <w:rsid w:val="00781674"/>
    <w:rsid w:val="00792C8C"/>
    <w:rsid w:val="007936B3"/>
    <w:rsid w:val="007946FA"/>
    <w:rsid w:val="007A19B3"/>
    <w:rsid w:val="007A4472"/>
    <w:rsid w:val="007A582D"/>
    <w:rsid w:val="007A5F9C"/>
    <w:rsid w:val="007A6CB8"/>
    <w:rsid w:val="007A75B0"/>
    <w:rsid w:val="007B346A"/>
    <w:rsid w:val="007B41D7"/>
    <w:rsid w:val="007B6CD2"/>
    <w:rsid w:val="007C3FD1"/>
    <w:rsid w:val="007C452D"/>
    <w:rsid w:val="007C6618"/>
    <w:rsid w:val="007D133C"/>
    <w:rsid w:val="007D499A"/>
    <w:rsid w:val="007D6E77"/>
    <w:rsid w:val="007E1DD1"/>
    <w:rsid w:val="007E54B8"/>
    <w:rsid w:val="007E67F2"/>
    <w:rsid w:val="007F5984"/>
    <w:rsid w:val="007F5FDA"/>
    <w:rsid w:val="007F73B3"/>
    <w:rsid w:val="007F779D"/>
    <w:rsid w:val="007F793C"/>
    <w:rsid w:val="00801E86"/>
    <w:rsid w:val="00802909"/>
    <w:rsid w:val="00803899"/>
    <w:rsid w:val="00804C84"/>
    <w:rsid w:val="00805F54"/>
    <w:rsid w:val="00806D85"/>
    <w:rsid w:val="00807BEF"/>
    <w:rsid w:val="00815774"/>
    <w:rsid w:val="00815D1B"/>
    <w:rsid w:val="0081694F"/>
    <w:rsid w:val="00817F0C"/>
    <w:rsid w:val="00821CD4"/>
    <w:rsid w:val="00821CF7"/>
    <w:rsid w:val="00823332"/>
    <w:rsid w:val="008233ED"/>
    <w:rsid w:val="008256C0"/>
    <w:rsid w:val="00825F28"/>
    <w:rsid w:val="0082698D"/>
    <w:rsid w:val="008313EA"/>
    <w:rsid w:val="008316D7"/>
    <w:rsid w:val="00832033"/>
    <w:rsid w:val="00834D7B"/>
    <w:rsid w:val="008357DD"/>
    <w:rsid w:val="008402C8"/>
    <w:rsid w:val="0084061A"/>
    <w:rsid w:val="008407F4"/>
    <w:rsid w:val="008415DE"/>
    <w:rsid w:val="0084226B"/>
    <w:rsid w:val="00842C40"/>
    <w:rsid w:val="00843F86"/>
    <w:rsid w:val="0084448B"/>
    <w:rsid w:val="00845824"/>
    <w:rsid w:val="00846C85"/>
    <w:rsid w:val="008525DE"/>
    <w:rsid w:val="00855FCB"/>
    <w:rsid w:val="00864BFF"/>
    <w:rsid w:val="00864E13"/>
    <w:rsid w:val="00865406"/>
    <w:rsid w:val="00865C89"/>
    <w:rsid w:val="008669AF"/>
    <w:rsid w:val="00867336"/>
    <w:rsid w:val="008744BF"/>
    <w:rsid w:val="008810F6"/>
    <w:rsid w:val="00881DA2"/>
    <w:rsid w:val="00890579"/>
    <w:rsid w:val="0089278F"/>
    <w:rsid w:val="008932C7"/>
    <w:rsid w:val="008960C1"/>
    <w:rsid w:val="00896ED6"/>
    <w:rsid w:val="00897D08"/>
    <w:rsid w:val="008A0462"/>
    <w:rsid w:val="008A055E"/>
    <w:rsid w:val="008A20D8"/>
    <w:rsid w:val="008A7462"/>
    <w:rsid w:val="008B29EC"/>
    <w:rsid w:val="008B4239"/>
    <w:rsid w:val="008B62E2"/>
    <w:rsid w:val="008B7803"/>
    <w:rsid w:val="008C07CF"/>
    <w:rsid w:val="008C0DF1"/>
    <w:rsid w:val="008C1E9F"/>
    <w:rsid w:val="008C2884"/>
    <w:rsid w:val="008C3254"/>
    <w:rsid w:val="008C4CD0"/>
    <w:rsid w:val="008D4DB5"/>
    <w:rsid w:val="008D6733"/>
    <w:rsid w:val="008D7983"/>
    <w:rsid w:val="008E28BF"/>
    <w:rsid w:val="008E5C0C"/>
    <w:rsid w:val="008E5E9E"/>
    <w:rsid w:val="008F3408"/>
    <w:rsid w:val="008F35D9"/>
    <w:rsid w:val="008F37D2"/>
    <w:rsid w:val="008F6053"/>
    <w:rsid w:val="008F6056"/>
    <w:rsid w:val="008F64D4"/>
    <w:rsid w:val="008F650D"/>
    <w:rsid w:val="008F7140"/>
    <w:rsid w:val="00902965"/>
    <w:rsid w:val="00905079"/>
    <w:rsid w:val="00910F41"/>
    <w:rsid w:val="00914BD1"/>
    <w:rsid w:val="00914F9F"/>
    <w:rsid w:val="009158F9"/>
    <w:rsid w:val="00916F8A"/>
    <w:rsid w:val="00925E37"/>
    <w:rsid w:val="0093243F"/>
    <w:rsid w:val="00934DB0"/>
    <w:rsid w:val="00935CAE"/>
    <w:rsid w:val="00940BD0"/>
    <w:rsid w:val="00941325"/>
    <w:rsid w:val="009443AA"/>
    <w:rsid w:val="00951724"/>
    <w:rsid w:val="00954051"/>
    <w:rsid w:val="00957B1B"/>
    <w:rsid w:val="00961C06"/>
    <w:rsid w:val="00965611"/>
    <w:rsid w:val="00966B7A"/>
    <w:rsid w:val="00972509"/>
    <w:rsid w:val="0097261E"/>
    <w:rsid w:val="0097550E"/>
    <w:rsid w:val="00976F38"/>
    <w:rsid w:val="00982321"/>
    <w:rsid w:val="009825DC"/>
    <w:rsid w:val="00982EA7"/>
    <w:rsid w:val="00983010"/>
    <w:rsid w:val="009847CE"/>
    <w:rsid w:val="00990179"/>
    <w:rsid w:val="00990B02"/>
    <w:rsid w:val="00991326"/>
    <w:rsid w:val="009940AE"/>
    <w:rsid w:val="0099467A"/>
    <w:rsid w:val="00996407"/>
    <w:rsid w:val="00996B6A"/>
    <w:rsid w:val="009A0442"/>
    <w:rsid w:val="009A146B"/>
    <w:rsid w:val="009A14EC"/>
    <w:rsid w:val="009A2FAA"/>
    <w:rsid w:val="009A4545"/>
    <w:rsid w:val="009A5262"/>
    <w:rsid w:val="009B12E6"/>
    <w:rsid w:val="009C03D4"/>
    <w:rsid w:val="009C5BFF"/>
    <w:rsid w:val="009C763A"/>
    <w:rsid w:val="009C7EC0"/>
    <w:rsid w:val="009D4FC6"/>
    <w:rsid w:val="009D7B20"/>
    <w:rsid w:val="009D7BD9"/>
    <w:rsid w:val="009E67E9"/>
    <w:rsid w:val="009F1EE0"/>
    <w:rsid w:val="009F221B"/>
    <w:rsid w:val="009F24B6"/>
    <w:rsid w:val="009F2FD8"/>
    <w:rsid w:val="009F4700"/>
    <w:rsid w:val="009F4904"/>
    <w:rsid w:val="009F7E79"/>
    <w:rsid w:val="00A0063B"/>
    <w:rsid w:val="00A00D88"/>
    <w:rsid w:val="00A117A8"/>
    <w:rsid w:val="00A12E51"/>
    <w:rsid w:val="00A1480D"/>
    <w:rsid w:val="00A16FE8"/>
    <w:rsid w:val="00A217DA"/>
    <w:rsid w:val="00A227C1"/>
    <w:rsid w:val="00A246FE"/>
    <w:rsid w:val="00A24B24"/>
    <w:rsid w:val="00A31921"/>
    <w:rsid w:val="00A342AA"/>
    <w:rsid w:val="00A34F90"/>
    <w:rsid w:val="00A360B3"/>
    <w:rsid w:val="00A4158D"/>
    <w:rsid w:val="00A41CEB"/>
    <w:rsid w:val="00A44AE9"/>
    <w:rsid w:val="00A45D7A"/>
    <w:rsid w:val="00A475C1"/>
    <w:rsid w:val="00A551DA"/>
    <w:rsid w:val="00A55BEF"/>
    <w:rsid w:val="00A561F3"/>
    <w:rsid w:val="00A612D5"/>
    <w:rsid w:val="00A620B2"/>
    <w:rsid w:val="00A62A97"/>
    <w:rsid w:val="00A639FE"/>
    <w:rsid w:val="00A63BEA"/>
    <w:rsid w:val="00A64447"/>
    <w:rsid w:val="00A7312A"/>
    <w:rsid w:val="00A741DF"/>
    <w:rsid w:val="00A74974"/>
    <w:rsid w:val="00A74CD5"/>
    <w:rsid w:val="00A7542C"/>
    <w:rsid w:val="00A76A29"/>
    <w:rsid w:val="00A86C33"/>
    <w:rsid w:val="00A92068"/>
    <w:rsid w:val="00A93B1F"/>
    <w:rsid w:val="00A9668B"/>
    <w:rsid w:val="00AA1FA9"/>
    <w:rsid w:val="00AA2E77"/>
    <w:rsid w:val="00AA531E"/>
    <w:rsid w:val="00AA5F86"/>
    <w:rsid w:val="00AA6768"/>
    <w:rsid w:val="00AA687E"/>
    <w:rsid w:val="00AB30D3"/>
    <w:rsid w:val="00AB35E3"/>
    <w:rsid w:val="00AB51F5"/>
    <w:rsid w:val="00AC3BB5"/>
    <w:rsid w:val="00AC4226"/>
    <w:rsid w:val="00AC78FC"/>
    <w:rsid w:val="00AC7A90"/>
    <w:rsid w:val="00AC7B70"/>
    <w:rsid w:val="00AD073C"/>
    <w:rsid w:val="00AD138E"/>
    <w:rsid w:val="00AD3299"/>
    <w:rsid w:val="00AD4BFA"/>
    <w:rsid w:val="00AD7737"/>
    <w:rsid w:val="00AE426E"/>
    <w:rsid w:val="00AE583A"/>
    <w:rsid w:val="00AE642F"/>
    <w:rsid w:val="00AF3263"/>
    <w:rsid w:val="00AF5702"/>
    <w:rsid w:val="00B03D83"/>
    <w:rsid w:val="00B046F2"/>
    <w:rsid w:val="00B056FC"/>
    <w:rsid w:val="00B0741E"/>
    <w:rsid w:val="00B12042"/>
    <w:rsid w:val="00B1261B"/>
    <w:rsid w:val="00B13783"/>
    <w:rsid w:val="00B21BA8"/>
    <w:rsid w:val="00B22BA7"/>
    <w:rsid w:val="00B22F0B"/>
    <w:rsid w:val="00B301EA"/>
    <w:rsid w:val="00B33880"/>
    <w:rsid w:val="00B33906"/>
    <w:rsid w:val="00B33C9D"/>
    <w:rsid w:val="00B33CCD"/>
    <w:rsid w:val="00B34AD1"/>
    <w:rsid w:val="00B35EE1"/>
    <w:rsid w:val="00B370F7"/>
    <w:rsid w:val="00B45976"/>
    <w:rsid w:val="00B468EC"/>
    <w:rsid w:val="00B5060C"/>
    <w:rsid w:val="00B508FD"/>
    <w:rsid w:val="00B50EF3"/>
    <w:rsid w:val="00B51C8C"/>
    <w:rsid w:val="00B56E22"/>
    <w:rsid w:val="00B60339"/>
    <w:rsid w:val="00B609BF"/>
    <w:rsid w:val="00B622FB"/>
    <w:rsid w:val="00B74A51"/>
    <w:rsid w:val="00B82169"/>
    <w:rsid w:val="00B84EB2"/>
    <w:rsid w:val="00B8699A"/>
    <w:rsid w:val="00B8734B"/>
    <w:rsid w:val="00B876F3"/>
    <w:rsid w:val="00B87EBF"/>
    <w:rsid w:val="00B90565"/>
    <w:rsid w:val="00B913DB"/>
    <w:rsid w:val="00B9174B"/>
    <w:rsid w:val="00B92448"/>
    <w:rsid w:val="00B92910"/>
    <w:rsid w:val="00B93A47"/>
    <w:rsid w:val="00B97717"/>
    <w:rsid w:val="00BA355B"/>
    <w:rsid w:val="00BA4958"/>
    <w:rsid w:val="00BA6838"/>
    <w:rsid w:val="00BB1342"/>
    <w:rsid w:val="00BB3BA2"/>
    <w:rsid w:val="00BB3D77"/>
    <w:rsid w:val="00BB735F"/>
    <w:rsid w:val="00BB7C62"/>
    <w:rsid w:val="00BC756F"/>
    <w:rsid w:val="00BC7663"/>
    <w:rsid w:val="00BD3115"/>
    <w:rsid w:val="00BD44EE"/>
    <w:rsid w:val="00BD5854"/>
    <w:rsid w:val="00BD5CB6"/>
    <w:rsid w:val="00BD62CA"/>
    <w:rsid w:val="00BE2A1A"/>
    <w:rsid w:val="00BE39AE"/>
    <w:rsid w:val="00BE7B64"/>
    <w:rsid w:val="00BF2650"/>
    <w:rsid w:val="00BF34CE"/>
    <w:rsid w:val="00C061DA"/>
    <w:rsid w:val="00C10CFF"/>
    <w:rsid w:val="00C14B88"/>
    <w:rsid w:val="00C15189"/>
    <w:rsid w:val="00C20A08"/>
    <w:rsid w:val="00C22894"/>
    <w:rsid w:val="00C27F5B"/>
    <w:rsid w:val="00C34008"/>
    <w:rsid w:val="00C3405D"/>
    <w:rsid w:val="00C357A2"/>
    <w:rsid w:val="00C35B91"/>
    <w:rsid w:val="00C404B2"/>
    <w:rsid w:val="00C40941"/>
    <w:rsid w:val="00C52095"/>
    <w:rsid w:val="00C527D8"/>
    <w:rsid w:val="00C539D8"/>
    <w:rsid w:val="00C54D1C"/>
    <w:rsid w:val="00C569E7"/>
    <w:rsid w:val="00C57CFE"/>
    <w:rsid w:val="00C64884"/>
    <w:rsid w:val="00C757F1"/>
    <w:rsid w:val="00C84E7C"/>
    <w:rsid w:val="00C856E5"/>
    <w:rsid w:val="00C85B59"/>
    <w:rsid w:val="00C87A1D"/>
    <w:rsid w:val="00C90251"/>
    <w:rsid w:val="00C922F0"/>
    <w:rsid w:val="00C95D5B"/>
    <w:rsid w:val="00CA2AA9"/>
    <w:rsid w:val="00CA40E7"/>
    <w:rsid w:val="00CA60AA"/>
    <w:rsid w:val="00CB578A"/>
    <w:rsid w:val="00CB5DDC"/>
    <w:rsid w:val="00CC29A2"/>
    <w:rsid w:val="00CC7777"/>
    <w:rsid w:val="00CD01DF"/>
    <w:rsid w:val="00CD3295"/>
    <w:rsid w:val="00CD3D00"/>
    <w:rsid w:val="00CD6380"/>
    <w:rsid w:val="00CE04E1"/>
    <w:rsid w:val="00CE2281"/>
    <w:rsid w:val="00CE350A"/>
    <w:rsid w:val="00CE556B"/>
    <w:rsid w:val="00CE5E1F"/>
    <w:rsid w:val="00CE6E35"/>
    <w:rsid w:val="00CE7F03"/>
    <w:rsid w:val="00CF42FD"/>
    <w:rsid w:val="00D0073E"/>
    <w:rsid w:val="00D00BFC"/>
    <w:rsid w:val="00D03A83"/>
    <w:rsid w:val="00D043F3"/>
    <w:rsid w:val="00D063C6"/>
    <w:rsid w:val="00D13359"/>
    <w:rsid w:val="00D13CE1"/>
    <w:rsid w:val="00D15B78"/>
    <w:rsid w:val="00D170C9"/>
    <w:rsid w:val="00D172FC"/>
    <w:rsid w:val="00D20435"/>
    <w:rsid w:val="00D205F2"/>
    <w:rsid w:val="00D2428A"/>
    <w:rsid w:val="00D308A7"/>
    <w:rsid w:val="00D30FE5"/>
    <w:rsid w:val="00D32922"/>
    <w:rsid w:val="00D35E5B"/>
    <w:rsid w:val="00D36A3B"/>
    <w:rsid w:val="00D418F7"/>
    <w:rsid w:val="00D43354"/>
    <w:rsid w:val="00D4449F"/>
    <w:rsid w:val="00D44DA1"/>
    <w:rsid w:val="00D467EE"/>
    <w:rsid w:val="00D47352"/>
    <w:rsid w:val="00D47625"/>
    <w:rsid w:val="00D51844"/>
    <w:rsid w:val="00D539CB"/>
    <w:rsid w:val="00D57524"/>
    <w:rsid w:val="00D61B25"/>
    <w:rsid w:val="00D62AC5"/>
    <w:rsid w:val="00D63451"/>
    <w:rsid w:val="00D637B6"/>
    <w:rsid w:val="00D63E37"/>
    <w:rsid w:val="00D6673E"/>
    <w:rsid w:val="00D72832"/>
    <w:rsid w:val="00D73296"/>
    <w:rsid w:val="00D759D5"/>
    <w:rsid w:val="00D76526"/>
    <w:rsid w:val="00D766F3"/>
    <w:rsid w:val="00D82EAC"/>
    <w:rsid w:val="00D836C9"/>
    <w:rsid w:val="00D83BE7"/>
    <w:rsid w:val="00D848C4"/>
    <w:rsid w:val="00D858EC"/>
    <w:rsid w:val="00D86464"/>
    <w:rsid w:val="00D951EA"/>
    <w:rsid w:val="00D96C02"/>
    <w:rsid w:val="00DA1A78"/>
    <w:rsid w:val="00DA23EE"/>
    <w:rsid w:val="00DA3689"/>
    <w:rsid w:val="00DA3EB2"/>
    <w:rsid w:val="00DA510D"/>
    <w:rsid w:val="00DA55E1"/>
    <w:rsid w:val="00DB36C4"/>
    <w:rsid w:val="00DB37A7"/>
    <w:rsid w:val="00DB48F1"/>
    <w:rsid w:val="00DB4CD1"/>
    <w:rsid w:val="00DC0BDF"/>
    <w:rsid w:val="00DC2658"/>
    <w:rsid w:val="00DC3C71"/>
    <w:rsid w:val="00DC4730"/>
    <w:rsid w:val="00DD14D9"/>
    <w:rsid w:val="00DD1721"/>
    <w:rsid w:val="00DD2702"/>
    <w:rsid w:val="00DD3FB9"/>
    <w:rsid w:val="00DD63BC"/>
    <w:rsid w:val="00DD7C10"/>
    <w:rsid w:val="00DE3A94"/>
    <w:rsid w:val="00DE3BCD"/>
    <w:rsid w:val="00DE6B2F"/>
    <w:rsid w:val="00DF066F"/>
    <w:rsid w:val="00DF0C8F"/>
    <w:rsid w:val="00DF23B0"/>
    <w:rsid w:val="00DF2606"/>
    <w:rsid w:val="00DF2772"/>
    <w:rsid w:val="00DF2B95"/>
    <w:rsid w:val="00DF3A93"/>
    <w:rsid w:val="00E05D0F"/>
    <w:rsid w:val="00E06B02"/>
    <w:rsid w:val="00E07468"/>
    <w:rsid w:val="00E07EDD"/>
    <w:rsid w:val="00E100F3"/>
    <w:rsid w:val="00E11AC3"/>
    <w:rsid w:val="00E1386F"/>
    <w:rsid w:val="00E2049E"/>
    <w:rsid w:val="00E208F6"/>
    <w:rsid w:val="00E225F5"/>
    <w:rsid w:val="00E30FE3"/>
    <w:rsid w:val="00E31E2F"/>
    <w:rsid w:val="00E4451B"/>
    <w:rsid w:val="00E453A9"/>
    <w:rsid w:val="00E4655C"/>
    <w:rsid w:val="00E47A43"/>
    <w:rsid w:val="00E508B6"/>
    <w:rsid w:val="00E50A28"/>
    <w:rsid w:val="00E51D21"/>
    <w:rsid w:val="00E563A3"/>
    <w:rsid w:val="00E5645B"/>
    <w:rsid w:val="00E56C65"/>
    <w:rsid w:val="00E62165"/>
    <w:rsid w:val="00E62203"/>
    <w:rsid w:val="00E6294C"/>
    <w:rsid w:val="00E64AB4"/>
    <w:rsid w:val="00E657D9"/>
    <w:rsid w:val="00E71DDF"/>
    <w:rsid w:val="00E84F2B"/>
    <w:rsid w:val="00E8694A"/>
    <w:rsid w:val="00E91511"/>
    <w:rsid w:val="00EA0BB2"/>
    <w:rsid w:val="00EA10BF"/>
    <w:rsid w:val="00EA1982"/>
    <w:rsid w:val="00EA4832"/>
    <w:rsid w:val="00EA5ADC"/>
    <w:rsid w:val="00EA6110"/>
    <w:rsid w:val="00EB17C9"/>
    <w:rsid w:val="00EB4472"/>
    <w:rsid w:val="00EB6A0A"/>
    <w:rsid w:val="00EC04F6"/>
    <w:rsid w:val="00EC2A88"/>
    <w:rsid w:val="00EC62D0"/>
    <w:rsid w:val="00EC63CC"/>
    <w:rsid w:val="00EC7190"/>
    <w:rsid w:val="00EE3353"/>
    <w:rsid w:val="00EE3864"/>
    <w:rsid w:val="00EE3ACB"/>
    <w:rsid w:val="00EE5116"/>
    <w:rsid w:val="00EE7EB2"/>
    <w:rsid w:val="00EE7EF8"/>
    <w:rsid w:val="00EF0884"/>
    <w:rsid w:val="00EF2E34"/>
    <w:rsid w:val="00EF4B40"/>
    <w:rsid w:val="00F072A3"/>
    <w:rsid w:val="00F07640"/>
    <w:rsid w:val="00F14303"/>
    <w:rsid w:val="00F17A33"/>
    <w:rsid w:val="00F20DDF"/>
    <w:rsid w:val="00F24360"/>
    <w:rsid w:val="00F26455"/>
    <w:rsid w:val="00F274C1"/>
    <w:rsid w:val="00F31104"/>
    <w:rsid w:val="00F34F1C"/>
    <w:rsid w:val="00F35A50"/>
    <w:rsid w:val="00F362F8"/>
    <w:rsid w:val="00F3662E"/>
    <w:rsid w:val="00F37C3F"/>
    <w:rsid w:val="00F51A6A"/>
    <w:rsid w:val="00F52778"/>
    <w:rsid w:val="00F54C7C"/>
    <w:rsid w:val="00F54D5D"/>
    <w:rsid w:val="00F54E44"/>
    <w:rsid w:val="00F57A4B"/>
    <w:rsid w:val="00F57EB2"/>
    <w:rsid w:val="00F6186A"/>
    <w:rsid w:val="00F62060"/>
    <w:rsid w:val="00F622EE"/>
    <w:rsid w:val="00F647E7"/>
    <w:rsid w:val="00F67585"/>
    <w:rsid w:val="00F711AE"/>
    <w:rsid w:val="00F74C96"/>
    <w:rsid w:val="00F816B4"/>
    <w:rsid w:val="00F81884"/>
    <w:rsid w:val="00F81CE5"/>
    <w:rsid w:val="00F81E7D"/>
    <w:rsid w:val="00F8222F"/>
    <w:rsid w:val="00F86D82"/>
    <w:rsid w:val="00F9345A"/>
    <w:rsid w:val="00F96FF1"/>
    <w:rsid w:val="00FA4FD5"/>
    <w:rsid w:val="00FB279F"/>
    <w:rsid w:val="00FB74B6"/>
    <w:rsid w:val="00FB7CCA"/>
    <w:rsid w:val="00FC02C7"/>
    <w:rsid w:val="00FC1A01"/>
    <w:rsid w:val="00FC1BA3"/>
    <w:rsid w:val="00FC2565"/>
    <w:rsid w:val="00FC2A67"/>
    <w:rsid w:val="00FC2CCF"/>
    <w:rsid w:val="00FC430C"/>
    <w:rsid w:val="00FD20EB"/>
    <w:rsid w:val="00FD50F3"/>
    <w:rsid w:val="00FE0669"/>
    <w:rsid w:val="00FE1A09"/>
    <w:rsid w:val="00FE27CB"/>
    <w:rsid w:val="00FE7440"/>
    <w:rsid w:val="00FF0751"/>
    <w:rsid w:val="00FF081B"/>
    <w:rsid w:val="00FF0FF3"/>
    <w:rsid w:val="00FF2D4B"/>
    <w:rsid w:val="00FF329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Rubrik1">
    <w:name w:val="heading 1"/>
    <w:basedOn w:val="Normal"/>
    <w:next w:val="Normal"/>
    <w:link w:val="Rubrik1Char"/>
    <w:qFormat/>
    <w:pPr>
      <w:keepNext/>
      <w:outlineLvl w:val="0"/>
    </w:pPr>
    <w:rPr>
      <w:b/>
      <w:sz w:val="20"/>
    </w:rPr>
  </w:style>
  <w:style w:type="paragraph" w:styleId="Rubrik2">
    <w:name w:val="heading 2"/>
    <w:basedOn w:val="Normal"/>
    <w:next w:val="Normal"/>
    <w:qFormat/>
    <w:pPr>
      <w:keepNext/>
      <w:outlineLvl w:val="1"/>
    </w:pPr>
    <w:rPr>
      <w:i/>
    </w:rPr>
  </w:style>
  <w:style w:type="paragraph" w:styleId="Rubrik4">
    <w:name w:val="heading 4"/>
    <w:basedOn w:val="Normal"/>
    <w:next w:val="Normal"/>
    <w:link w:val="Rubrik4Char"/>
    <w:semiHidden/>
    <w:unhideWhenUsed/>
    <w:qFormat/>
    <w:rsid w:val="00AE58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pPr>
      <w:spacing w:before="120" w:after="120"/>
      <w:jc w:val="both"/>
    </w:pPr>
    <w:rPr>
      <w:b/>
      <w:sz w:val="16"/>
    </w:rPr>
  </w:style>
  <w:style w:type="paragraph" w:styleId="Brdtext">
    <w:name w:val="Body Text"/>
    <w:basedOn w:val="Normal"/>
    <w:link w:val="BrdtextChar"/>
    <w:pPr>
      <w:jc w:val="both"/>
    </w:pPr>
    <w:rPr>
      <w:sz w:val="20"/>
    </w:rPr>
  </w:style>
  <w:style w:type="paragraph" w:styleId="Rubrik">
    <w:name w:val="Title"/>
    <w:basedOn w:val="Normal"/>
    <w:qFormat/>
    <w:pPr>
      <w:jc w:val="center"/>
    </w:pPr>
    <w:rPr>
      <w:b/>
      <w:sz w:val="36"/>
    </w:rPr>
  </w:style>
  <w:style w:type="paragraph" w:styleId="Brdtextmedindrag">
    <w:name w:val="Body Text Indent"/>
    <w:basedOn w:val="Normal"/>
    <w:pPr>
      <w:ind w:left="360"/>
    </w:pPr>
  </w:style>
  <w:style w:type="paragraph" w:styleId="Liststycke">
    <w:name w:val="List Paragraph"/>
    <w:basedOn w:val="Normal"/>
    <w:uiPriority w:val="34"/>
    <w:qFormat/>
    <w:rsid w:val="00B21BA8"/>
    <w:pPr>
      <w:ind w:left="720"/>
    </w:pPr>
  </w:style>
  <w:style w:type="paragraph" w:styleId="Sidhuvud">
    <w:name w:val="header"/>
    <w:basedOn w:val="Normal"/>
    <w:link w:val="SidhuvudChar"/>
    <w:rsid w:val="00B370F7"/>
    <w:pPr>
      <w:tabs>
        <w:tab w:val="center" w:pos="4513"/>
        <w:tab w:val="right" w:pos="9026"/>
      </w:tabs>
    </w:pPr>
  </w:style>
  <w:style w:type="character" w:customStyle="1" w:styleId="SidhuvudChar">
    <w:name w:val="Sidhuvud Char"/>
    <w:link w:val="Sidhuvud"/>
    <w:rsid w:val="00B370F7"/>
    <w:rPr>
      <w:sz w:val="24"/>
      <w:lang w:val="en-AU" w:eastAsia="en-GB"/>
    </w:rPr>
  </w:style>
  <w:style w:type="paragraph" w:styleId="Sidfot">
    <w:name w:val="footer"/>
    <w:basedOn w:val="Normal"/>
    <w:link w:val="SidfotChar"/>
    <w:rsid w:val="00B370F7"/>
    <w:pPr>
      <w:tabs>
        <w:tab w:val="center" w:pos="4513"/>
        <w:tab w:val="right" w:pos="9026"/>
      </w:tabs>
    </w:pPr>
  </w:style>
  <w:style w:type="character" w:customStyle="1" w:styleId="SidfotChar">
    <w:name w:val="Sidfot Char"/>
    <w:link w:val="Sidfot"/>
    <w:rsid w:val="00B370F7"/>
    <w:rPr>
      <w:sz w:val="24"/>
      <w:lang w:val="en-AU" w:eastAsia="en-GB"/>
    </w:rPr>
  </w:style>
  <w:style w:type="paragraph" w:styleId="Ballongtext">
    <w:name w:val="Balloon Text"/>
    <w:basedOn w:val="Normal"/>
    <w:link w:val="BallongtextChar"/>
    <w:rsid w:val="00250D41"/>
    <w:rPr>
      <w:rFonts w:ascii="Tahoma" w:hAnsi="Tahoma" w:cs="Tahoma"/>
      <w:sz w:val="16"/>
      <w:szCs w:val="16"/>
    </w:rPr>
  </w:style>
  <w:style w:type="character" w:customStyle="1" w:styleId="BallongtextChar">
    <w:name w:val="Ballongtext Char"/>
    <w:basedOn w:val="Standardstycketeckensnitt"/>
    <w:link w:val="Ballongtext"/>
    <w:rsid w:val="00250D41"/>
    <w:rPr>
      <w:rFonts w:ascii="Tahoma" w:hAnsi="Tahoma" w:cs="Tahoma"/>
      <w:sz w:val="16"/>
      <w:szCs w:val="16"/>
      <w:lang w:val="en-AU" w:eastAsia="en-GB"/>
    </w:rPr>
  </w:style>
  <w:style w:type="character" w:styleId="Platshllartext">
    <w:name w:val="Placeholder Text"/>
    <w:basedOn w:val="Standardstycketeckensnitt"/>
    <w:uiPriority w:val="99"/>
    <w:semiHidden/>
    <w:rsid w:val="00250D41"/>
    <w:rPr>
      <w:color w:val="808080"/>
    </w:rPr>
  </w:style>
  <w:style w:type="character" w:styleId="Hyperlnk">
    <w:name w:val="Hyperlink"/>
    <w:basedOn w:val="Standardstycketeckensnitt"/>
    <w:rsid w:val="00250D41"/>
    <w:rPr>
      <w:color w:val="0000FF" w:themeColor="hyperlink"/>
      <w:u w:val="single"/>
    </w:rPr>
  </w:style>
  <w:style w:type="character" w:styleId="AnvndHyperlnk">
    <w:name w:val="FollowedHyperlink"/>
    <w:basedOn w:val="Standardstycketeckensnitt"/>
    <w:rsid w:val="00A86C33"/>
    <w:rPr>
      <w:color w:val="800080" w:themeColor="followedHyperlink"/>
      <w:u w:val="single"/>
    </w:rPr>
  </w:style>
  <w:style w:type="character" w:customStyle="1" w:styleId="Rubrik1Char">
    <w:name w:val="Rubrik 1 Char"/>
    <w:basedOn w:val="Standardstycketeckensnitt"/>
    <w:link w:val="Rubrik1"/>
    <w:rsid w:val="001C005C"/>
    <w:rPr>
      <w:b/>
      <w:lang w:val="en-AU" w:eastAsia="en-GB"/>
    </w:rPr>
  </w:style>
  <w:style w:type="character" w:customStyle="1" w:styleId="BrdtextChar">
    <w:name w:val="Brödtext Char"/>
    <w:basedOn w:val="Standardstycketeckensnitt"/>
    <w:link w:val="Brdtext"/>
    <w:rsid w:val="001C005C"/>
    <w:rPr>
      <w:lang w:val="en-AU" w:eastAsia="en-GB"/>
    </w:rPr>
  </w:style>
  <w:style w:type="table" w:styleId="Tabellrutnt">
    <w:name w:val="Table Grid"/>
    <w:basedOn w:val="Normaltabell"/>
    <w:uiPriority w:val="59"/>
    <w:rsid w:val="00604BA6"/>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semiHidden/>
    <w:rsid w:val="00AE583A"/>
    <w:rPr>
      <w:rFonts w:asciiTheme="majorHAnsi" w:eastAsiaTheme="majorEastAsia" w:hAnsiTheme="majorHAnsi" w:cstheme="majorBidi"/>
      <w:b/>
      <w:bCs/>
      <w:i/>
      <w:iCs/>
      <w:color w:val="4F81BD" w:themeColor="accent1"/>
      <w:sz w:val="24"/>
      <w:lang w:val="en-AU" w:eastAsia="en-GB"/>
    </w:rPr>
  </w:style>
  <w:style w:type="character" w:styleId="Kommentarsreferens">
    <w:name w:val="annotation reference"/>
    <w:basedOn w:val="Standardstycketeckensnitt"/>
    <w:semiHidden/>
    <w:unhideWhenUsed/>
    <w:rsid w:val="00E62203"/>
    <w:rPr>
      <w:sz w:val="16"/>
      <w:szCs w:val="16"/>
    </w:rPr>
  </w:style>
  <w:style w:type="paragraph" w:styleId="Kommentarer">
    <w:name w:val="annotation text"/>
    <w:basedOn w:val="Normal"/>
    <w:link w:val="KommentarerChar"/>
    <w:semiHidden/>
    <w:unhideWhenUsed/>
    <w:rsid w:val="00E62203"/>
    <w:rPr>
      <w:sz w:val="20"/>
    </w:rPr>
  </w:style>
  <w:style w:type="character" w:customStyle="1" w:styleId="KommentarerChar">
    <w:name w:val="Kommentarer Char"/>
    <w:basedOn w:val="Standardstycketeckensnitt"/>
    <w:link w:val="Kommentarer"/>
    <w:semiHidden/>
    <w:rsid w:val="00E62203"/>
    <w:rPr>
      <w:lang w:val="en-AU" w:eastAsia="en-GB"/>
    </w:rPr>
  </w:style>
  <w:style w:type="paragraph" w:styleId="Kommentarsmne">
    <w:name w:val="annotation subject"/>
    <w:basedOn w:val="Kommentarer"/>
    <w:next w:val="Kommentarer"/>
    <w:link w:val="KommentarsmneChar"/>
    <w:semiHidden/>
    <w:unhideWhenUsed/>
    <w:rsid w:val="00E62203"/>
    <w:rPr>
      <w:b/>
      <w:bCs/>
    </w:rPr>
  </w:style>
  <w:style w:type="character" w:customStyle="1" w:styleId="KommentarsmneChar">
    <w:name w:val="Kommentarsämne Char"/>
    <w:basedOn w:val="KommentarerChar"/>
    <w:link w:val="Kommentarsmne"/>
    <w:semiHidden/>
    <w:rsid w:val="00E62203"/>
    <w:rPr>
      <w:b/>
      <w:bCs/>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Rubrik1">
    <w:name w:val="heading 1"/>
    <w:basedOn w:val="Normal"/>
    <w:next w:val="Normal"/>
    <w:link w:val="Rubrik1Char"/>
    <w:qFormat/>
    <w:pPr>
      <w:keepNext/>
      <w:outlineLvl w:val="0"/>
    </w:pPr>
    <w:rPr>
      <w:b/>
      <w:sz w:val="20"/>
    </w:rPr>
  </w:style>
  <w:style w:type="paragraph" w:styleId="Rubrik2">
    <w:name w:val="heading 2"/>
    <w:basedOn w:val="Normal"/>
    <w:next w:val="Normal"/>
    <w:qFormat/>
    <w:pPr>
      <w:keepNext/>
      <w:outlineLvl w:val="1"/>
    </w:pPr>
    <w:rPr>
      <w:i/>
    </w:rPr>
  </w:style>
  <w:style w:type="paragraph" w:styleId="Rubrik4">
    <w:name w:val="heading 4"/>
    <w:basedOn w:val="Normal"/>
    <w:next w:val="Normal"/>
    <w:link w:val="Rubrik4Char"/>
    <w:semiHidden/>
    <w:unhideWhenUsed/>
    <w:qFormat/>
    <w:rsid w:val="00AE58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pPr>
      <w:spacing w:before="120" w:after="120"/>
      <w:jc w:val="both"/>
    </w:pPr>
    <w:rPr>
      <w:b/>
      <w:sz w:val="16"/>
    </w:rPr>
  </w:style>
  <w:style w:type="paragraph" w:styleId="Brdtext">
    <w:name w:val="Body Text"/>
    <w:basedOn w:val="Normal"/>
    <w:link w:val="BrdtextChar"/>
    <w:pPr>
      <w:jc w:val="both"/>
    </w:pPr>
    <w:rPr>
      <w:sz w:val="20"/>
    </w:rPr>
  </w:style>
  <w:style w:type="paragraph" w:styleId="Rubrik">
    <w:name w:val="Title"/>
    <w:basedOn w:val="Normal"/>
    <w:qFormat/>
    <w:pPr>
      <w:jc w:val="center"/>
    </w:pPr>
    <w:rPr>
      <w:b/>
      <w:sz w:val="36"/>
    </w:rPr>
  </w:style>
  <w:style w:type="paragraph" w:styleId="Brdtextmedindrag">
    <w:name w:val="Body Text Indent"/>
    <w:basedOn w:val="Normal"/>
    <w:pPr>
      <w:ind w:left="360"/>
    </w:pPr>
  </w:style>
  <w:style w:type="paragraph" w:styleId="Liststycke">
    <w:name w:val="List Paragraph"/>
    <w:basedOn w:val="Normal"/>
    <w:uiPriority w:val="34"/>
    <w:qFormat/>
    <w:rsid w:val="00B21BA8"/>
    <w:pPr>
      <w:ind w:left="720"/>
    </w:pPr>
  </w:style>
  <w:style w:type="paragraph" w:styleId="Sidhuvud">
    <w:name w:val="header"/>
    <w:basedOn w:val="Normal"/>
    <w:link w:val="SidhuvudChar"/>
    <w:rsid w:val="00B370F7"/>
    <w:pPr>
      <w:tabs>
        <w:tab w:val="center" w:pos="4513"/>
        <w:tab w:val="right" w:pos="9026"/>
      </w:tabs>
    </w:pPr>
  </w:style>
  <w:style w:type="character" w:customStyle="1" w:styleId="SidhuvudChar">
    <w:name w:val="Sidhuvud Char"/>
    <w:link w:val="Sidhuvud"/>
    <w:rsid w:val="00B370F7"/>
    <w:rPr>
      <w:sz w:val="24"/>
      <w:lang w:val="en-AU" w:eastAsia="en-GB"/>
    </w:rPr>
  </w:style>
  <w:style w:type="paragraph" w:styleId="Sidfot">
    <w:name w:val="footer"/>
    <w:basedOn w:val="Normal"/>
    <w:link w:val="SidfotChar"/>
    <w:rsid w:val="00B370F7"/>
    <w:pPr>
      <w:tabs>
        <w:tab w:val="center" w:pos="4513"/>
        <w:tab w:val="right" w:pos="9026"/>
      </w:tabs>
    </w:pPr>
  </w:style>
  <w:style w:type="character" w:customStyle="1" w:styleId="SidfotChar">
    <w:name w:val="Sidfot Char"/>
    <w:link w:val="Sidfot"/>
    <w:rsid w:val="00B370F7"/>
    <w:rPr>
      <w:sz w:val="24"/>
      <w:lang w:val="en-AU" w:eastAsia="en-GB"/>
    </w:rPr>
  </w:style>
  <w:style w:type="paragraph" w:styleId="Ballongtext">
    <w:name w:val="Balloon Text"/>
    <w:basedOn w:val="Normal"/>
    <w:link w:val="BallongtextChar"/>
    <w:rsid w:val="00250D41"/>
    <w:rPr>
      <w:rFonts w:ascii="Tahoma" w:hAnsi="Tahoma" w:cs="Tahoma"/>
      <w:sz w:val="16"/>
      <w:szCs w:val="16"/>
    </w:rPr>
  </w:style>
  <w:style w:type="character" w:customStyle="1" w:styleId="BallongtextChar">
    <w:name w:val="Ballongtext Char"/>
    <w:basedOn w:val="Standardstycketeckensnitt"/>
    <w:link w:val="Ballongtext"/>
    <w:rsid w:val="00250D41"/>
    <w:rPr>
      <w:rFonts w:ascii="Tahoma" w:hAnsi="Tahoma" w:cs="Tahoma"/>
      <w:sz w:val="16"/>
      <w:szCs w:val="16"/>
      <w:lang w:val="en-AU" w:eastAsia="en-GB"/>
    </w:rPr>
  </w:style>
  <w:style w:type="character" w:styleId="Platshllartext">
    <w:name w:val="Placeholder Text"/>
    <w:basedOn w:val="Standardstycketeckensnitt"/>
    <w:uiPriority w:val="99"/>
    <w:semiHidden/>
    <w:rsid w:val="00250D41"/>
    <w:rPr>
      <w:color w:val="808080"/>
    </w:rPr>
  </w:style>
  <w:style w:type="character" w:styleId="Hyperlnk">
    <w:name w:val="Hyperlink"/>
    <w:basedOn w:val="Standardstycketeckensnitt"/>
    <w:rsid w:val="00250D41"/>
    <w:rPr>
      <w:color w:val="0000FF" w:themeColor="hyperlink"/>
      <w:u w:val="single"/>
    </w:rPr>
  </w:style>
  <w:style w:type="character" w:styleId="AnvndHyperlnk">
    <w:name w:val="FollowedHyperlink"/>
    <w:basedOn w:val="Standardstycketeckensnitt"/>
    <w:rsid w:val="00A86C33"/>
    <w:rPr>
      <w:color w:val="800080" w:themeColor="followedHyperlink"/>
      <w:u w:val="single"/>
    </w:rPr>
  </w:style>
  <w:style w:type="character" w:customStyle="1" w:styleId="Rubrik1Char">
    <w:name w:val="Rubrik 1 Char"/>
    <w:basedOn w:val="Standardstycketeckensnitt"/>
    <w:link w:val="Rubrik1"/>
    <w:rsid w:val="001C005C"/>
    <w:rPr>
      <w:b/>
      <w:lang w:val="en-AU" w:eastAsia="en-GB"/>
    </w:rPr>
  </w:style>
  <w:style w:type="character" w:customStyle="1" w:styleId="BrdtextChar">
    <w:name w:val="Brödtext Char"/>
    <w:basedOn w:val="Standardstycketeckensnitt"/>
    <w:link w:val="Brdtext"/>
    <w:rsid w:val="001C005C"/>
    <w:rPr>
      <w:lang w:val="en-AU" w:eastAsia="en-GB"/>
    </w:rPr>
  </w:style>
  <w:style w:type="table" w:styleId="Tabellrutnt">
    <w:name w:val="Table Grid"/>
    <w:basedOn w:val="Normaltabell"/>
    <w:uiPriority w:val="59"/>
    <w:rsid w:val="00604BA6"/>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semiHidden/>
    <w:rsid w:val="00AE583A"/>
    <w:rPr>
      <w:rFonts w:asciiTheme="majorHAnsi" w:eastAsiaTheme="majorEastAsia" w:hAnsiTheme="majorHAnsi" w:cstheme="majorBidi"/>
      <w:b/>
      <w:bCs/>
      <w:i/>
      <w:iCs/>
      <w:color w:val="4F81BD" w:themeColor="accent1"/>
      <w:sz w:val="24"/>
      <w:lang w:val="en-AU" w:eastAsia="en-GB"/>
    </w:rPr>
  </w:style>
  <w:style w:type="character" w:styleId="Kommentarsreferens">
    <w:name w:val="annotation reference"/>
    <w:basedOn w:val="Standardstycketeckensnitt"/>
    <w:semiHidden/>
    <w:unhideWhenUsed/>
    <w:rsid w:val="00E62203"/>
    <w:rPr>
      <w:sz w:val="16"/>
      <w:szCs w:val="16"/>
    </w:rPr>
  </w:style>
  <w:style w:type="paragraph" w:styleId="Kommentarer">
    <w:name w:val="annotation text"/>
    <w:basedOn w:val="Normal"/>
    <w:link w:val="KommentarerChar"/>
    <w:semiHidden/>
    <w:unhideWhenUsed/>
    <w:rsid w:val="00E62203"/>
    <w:rPr>
      <w:sz w:val="20"/>
    </w:rPr>
  </w:style>
  <w:style w:type="character" w:customStyle="1" w:styleId="KommentarerChar">
    <w:name w:val="Kommentarer Char"/>
    <w:basedOn w:val="Standardstycketeckensnitt"/>
    <w:link w:val="Kommentarer"/>
    <w:semiHidden/>
    <w:rsid w:val="00E62203"/>
    <w:rPr>
      <w:lang w:val="en-AU" w:eastAsia="en-GB"/>
    </w:rPr>
  </w:style>
  <w:style w:type="paragraph" w:styleId="Kommentarsmne">
    <w:name w:val="annotation subject"/>
    <w:basedOn w:val="Kommentarer"/>
    <w:next w:val="Kommentarer"/>
    <w:link w:val="KommentarsmneChar"/>
    <w:semiHidden/>
    <w:unhideWhenUsed/>
    <w:rsid w:val="00E62203"/>
    <w:rPr>
      <w:b/>
      <w:bCs/>
    </w:rPr>
  </w:style>
  <w:style w:type="character" w:customStyle="1" w:styleId="KommentarsmneChar">
    <w:name w:val="Kommentarsämne Char"/>
    <w:basedOn w:val="KommentarerChar"/>
    <w:link w:val="Kommentarsmne"/>
    <w:semiHidden/>
    <w:rsid w:val="00E62203"/>
    <w:rPr>
      <w:b/>
      <w:bCs/>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2197">
      <w:bodyDiv w:val="1"/>
      <w:marLeft w:val="0"/>
      <w:marRight w:val="0"/>
      <w:marTop w:val="0"/>
      <w:marBottom w:val="0"/>
      <w:divBdr>
        <w:top w:val="none" w:sz="0" w:space="0" w:color="auto"/>
        <w:left w:val="none" w:sz="0" w:space="0" w:color="auto"/>
        <w:bottom w:val="none" w:sz="0" w:space="0" w:color="auto"/>
        <w:right w:val="none" w:sz="0" w:space="0" w:color="auto"/>
      </w:divBdr>
      <w:divsChild>
        <w:div w:id="1039937121">
          <w:marLeft w:val="0"/>
          <w:marRight w:val="0"/>
          <w:marTop w:val="0"/>
          <w:marBottom w:val="0"/>
          <w:divBdr>
            <w:top w:val="none" w:sz="0" w:space="0" w:color="auto"/>
            <w:left w:val="none" w:sz="0" w:space="0" w:color="auto"/>
            <w:bottom w:val="none" w:sz="0" w:space="0" w:color="auto"/>
            <w:right w:val="none" w:sz="0" w:space="0" w:color="auto"/>
          </w:divBdr>
          <w:divsChild>
            <w:div w:id="1025642148">
              <w:marLeft w:val="0"/>
              <w:marRight w:val="0"/>
              <w:marTop w:val="0"/>
              <w:marBottom w:val="0"/>
              <w:divBdr>
                <w:top w:val="none" w:sz="0" w:space="0" w:color="auto"/>
                <w:left w:val="none" w:sz="0" w:space="0" w:color="auto"/>
                <w:bottom w:val="none" w:sz="0" w:space="0" w:color="auto"/>
                <w:right w:val="none" w:sz="0" w:space="0" w:color="auto"/>
              </w:divBdr>
              <w:divsChild>
                <w:div w:id="1479300404">
                  <w:marLeft w:val="0"/>
                  <w:marRight w:val="0"/>
                  <w:marTop w:val="0"/>
                  <w:marBottom w:val="0"/>
                  <w:divBdr>
                    <w:top w:val="none" w:sz="0" w:space="0" w:color="auto"/>
                    <w:left w:val="none" w:sz="0" w:space="0" w:color="auto"/>
                    <w:bottom w:val="none" w:sz="0" w:space="0" w:color="auto"/>
                    <w:right w:val="none" w:sz="0" w:space="0" w:color="auto"/>
                  </w:divBdr>
                  <w:divsChild>
                    <w:div w:id="867182343">
                      <w:marLeft w:val="0"/>
                      <w:marRight w:val="0"/>
                      <w:marTop w:val="0"/>
                      <w:marBottom w:val="0"/>
                      <w:divBdr>
                        <w:top w:val="none" w:sz="0" w:space="0" w:color="auto"/>
                        <w:left w:val="none" w:sz="0" w:space="0" w:color="auto"/>
                        <w:bottom w:val="none" w:sz="0" w:space="0" w:color="auto"/>
                        <w:right w:val="none" w:sz="0" w:space="0" w:color="auto"/>
                      </w:divBdr>
                      <w:divsChild>
                        <w:div w:id="333656679">
                          <w:marLeft w:val="0"/>
                          <w:marRight w:val="0"/>
                          <w:marTop w:val="0"/>
                          <w:marBottom w:val="0"/>
                          <w:divBdr>
                            <w:top w:val="none" w:sz="0" w:space="0" w:color="auto"/>
                            <w:left w:val="none" w:sz="0" w:space="0" w:color="auto"/>
                            <w:bottom w:val="none" w:sz="0" w:space="0" w:color="auto"/>
                            <w:right w:val="none" w:sz="0" w:space="0" w:color="auto"/>
                          </w:divBdr>
                          <w:divsChild>
                            <w:div w:id="312418840">
                              <w:marLeft w:val="0"/>
                              <w:marRight w:val="0"/>
                              <w:marTop w:val="0"/>
                              <w:marBottom w:val="0"/>
                              <w:divBdr>
                                <w:top w:val="none" w:sz="0" w:space="0" w:color="auto"/>
                                <w:left w:val="none" w:sz="0" w:space="0" w:color="auto"/>
                                <w:bottom w:val="none" w:sz="0" w:space="0" w:color="auto"/>
                                <w:right w:val="none" w:sz="0" w:space="0" w:color="auto"/>
                              </w:divBdr>
                              <w:divsChild>
                                <w:div w:id="1320230164">
                                  <w:marLeft w:val="3600"/>
                                  <w:marRight w:val="2700"/>
                                  <w:marTop w:val="0"/>
                                  <w:marBottom w:val="0"/>
                                  <w:divBdr>
                                    <w:top w:val="single" w:sz="6" w:space="0" w:color="C9C9C9"/>
                                    <w:left w:val="single" w:sz="6" w:space="0" w:color="C9C9C9"/>
                                    <w:bottom w:val="single" w:sz="6" w:space="0" w:color="C9C9C9"/>
                                    <w:right w:val="single" w:sz="6" w:space="0" w:color="C9C9C9"/>
                                  </w:divBdr>
                                  <w:divsChild>
                                    <w:div w:id="541865079">
                                      <w:marLeft w:val="0"/>
                                      <w:marRight w:val="0"/>
                                      <w:marTop w:val="0"/>
                                      <w:marBottom w:val="0"/>
                                      <w:divBdr>
                                        <w:top w:val="none" w:sz="0" w:space="0" w:color="auto"/>
                                        <w:left w:val="none" w:sz="0" w:space="0" w:color="auto"/>
                                        <w:bottom w:val="none" w:sz="0" w:space="0" w:color="auto"/>
                                        <w:right w:val="none" w:sz="0" w:space="0" w:color="auto"/>
                                      </w:divBdr>
                                      <w:divsChild>
                                        <w:div w:id="1380204973">
                                          <w:marLeft w:val="0"/>
                                          <w:marRight w:val="0"/>
                                          <w:marTop w:val="0"/>
                                          <w:marBottom w:val="0"/>
                                          <w:divBdr>
                                            <w:top w:val="none" w:sz="0" w:space="0" w:color="auto"/>
                                            <w:left w:val="none" w:sz="0" w:space="0" w:color="auto"/>
                                            <w:bottom w:val="none" w:sz="0" w:space="0" w:color="auto"/>
                                            <w:right w:val="none" w:sz="0" w:space="0" w:color="auto"/>
                                          </w:divBdr>
                                          <w:divsChild>
                                            <w:div w:id="64422634">
                                              <w:marLeft w:val="0"/>
                                              <w:marRight w:val="0"/>
                                              <w:marTop w:val="0"/>
                                              <w:marBottom w:val="0"/>
                                              <w:divBdr>
                                                <w:top w:val="none" w:sz="0" w:space="0" w:color="auto"/>
                                                <w:left w:val="none" w:sz="0" w:space="0" w:color="auto"/>
                                                <w:bottom w:val="none" w:sz="0" w:space="0" w:color="auto"/>
                                                <w:right w:val="none" w:sz="0" w:space="0" w:color="auto"/>
                                              </w:divBdr>
                                              <w:divsChild>
                                                <w:div w:id="1558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45B2-9338-4B04-97F6-FF2CFDC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2</TotalTime>
  <Pages>6</Pages>
  <Words>5113</Words>
  <Characters>27102</Characters>
  <Application>Microsoft Office Word</Application>
  <DocSecurity>0</DocSecurity>
  <Lines>225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32151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Oliver Büker</cp:lastModifiedBy>
  <cp:revision>4</cp:revision>
  <cp:lastPrinted>2016-08-05T08:44:00Z</cp:lastPrinted>
  <dcterms:created xsi:type="dcterms:W3CDTF">2016-08-12T15:03:00Z</dcterms:created>
  <dcterms:modified xsi:type="dcterms:W3CDTF">2016-08-12T15:07:00Z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