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png" Extension="png"/>
  <Default ContentType="image/x-wmf" Extension="wmf"/>
  <Override ContentType="image/x-emf" PartName="/word/media/image12.emf"/>
  <Override ContentType="image/x-emf" PartName="/word/media/image13.emf"/>
  <Override ContentType="image/x-emf" PartName="/word/media/image14.emf"/>
  <Override ContentType="image/x-emf" PartName="/word/media/image15.emf"/>
  <Override ContentType="image/x-emf" PartName="/word/media/image16.emf"/>
  <Override ContentType="image/x-emf" PartName="/word/media/image17.emf"/>
  <Default ContentType="image/jpeg" Extension="jpeg"/>
  <Override ContentType="image/x-emf" PartName="/word/media/image7.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10"/>
        <w:pBdr>
          <w:top w:val="none" w:color="000000" w:sz="0" w:space="0"/>
          <w:left w:val="none" w:color="000000" w:sz="0" w:space="0"/>
          <w:bottom w:val="none" w:color="000000" w:sz="0" w:space="0"/>
          <w:right w:val="none" w:color="000000" w:sz="0" w:space="0"/>
          <w:between w:val="none" w:color="000000" w:sz="0" w:space="0"/>
        </w:pBdr>
        <w:shd w:val="clear" w:color="040000" w:fill="auto"/>
        <w:suppressAutoHyphens/>
        <w:ind w:right="396" w:firstLine="426"/>
        <w:rPr>
          <w:color w:val="00000A"/>
        </w:rPr>
      </w:pPr>
      <w:r>
        <w:rPr>
          <w:color w:val="00000A"/>
        </w:rPr>
        <w:t>Influence of Upstream Shape Factors on Discharge</w:t>
      </w:r>
    </w:p>
    <w:p>
      <w:pPr>
        <w:pStyle w:val="10"/>
        <w:pBdr>
          <w:top w:val="none" w:color="000000" w:sz="0" w:space="0"/>
          <w:left w:val="none" w:color="000000" w:sz="0" w:space="0"/>
          <w:bottom w:val="none" w:color="000000" w:sz="0" w:space="0"/>
          <w:right w:val="none" w:color="000000" w:sz="0" w:space="0"/>
          <w:between w:val="none" w:color="000000" w:sz="0" w:space="0"/>
        </w:pBdr>
        <w:shd w:val="clear" w:color="040000" w:fill="auto"/>
        <w:suppressAutoHyphens/>
        <w:ind w:right="396" w:firstLine="426"/>
        <w:rPr>
          <w:color w:val="00000A"/>
        </w:rPr>
      </w:pPr>
      <w:r>
        <w:rPr>
          <w:color w:val="00000A"/>
        </w:rPr>
        <w:t xml:space="preserve">Coefficient of Critical Flow Venturi Nozzles </w:t>
      </w:r>
    </w:p>
    <w:p>
      <w:pPr>
        <w:pBdr>
          <w:top w:val="none" w:color="000000" w:sz="0" w:space="0"/>
          <w:left w:val="none" w:color="000000" w:sz="0" w:space="0"/>
          <w:bottom w:val="none" w:color="000000" w:sz="0" w:space="0"/>
          <w:right w:val="none" w:color="000000" w:sz="0" w:space="0"/>
          <w:between w:val="none" w:color="000000" w:sz="0" w:space="0"/>
        </w:pBdr>
        <w:shd w:val="clear" w:color="020000" w:fill="auto"/>
        <w:suppressAutoHyphens/>
        <w:rPr>
          <w:color w:val="00000A"/>
        </w:rPr>
      </w:pPr>
    </w:p>
    <w:p>
      <w:pPr>
        <w:pStyle w:val="16"/>
        <w:jc w:val="center"/>
        <w:rPr>
          <w:b/>
          <w:color w:val="00000A"/>
          <w:sz w:val="24"/>
          <w:vertAlign w:val="superscript"/>
        </w:rPr>
      </w:pPr>
      <w:r>
        <w:rPr>
          <w:b/>
          <w:color w:val="00000A"/>
          <w:sz w:val="24"/>
        </w:rPr>
        <w:t>Ernst von Lavante</w:t>
      </w:r>
      <w:r>
        <w:rPr>
          <w:b/>
          <w:color w:val="00000A"/>
          <w:sz w:val="24"/>
          <w:vertAlign w:val="superscript"/>
        </w:rPr>
        <w:t>2</w:t>
      </w:r>
      <w:r>
        <w:rPr>
          <w:b/>
          <w:color w:val="00000A"/>
          <w:sz w:val="24"/>
        </w:rPr>
        <w:t>, Bodo Mickan</w:t>
      </w:r>
      <w:r>
        <w:rPr>
          <w:b/>
          <w:color w:val="00000A"/>
          <w:sz w:val="24"/>
          <w:vertAlign w:val="superscript"/>
        </w:rPr>
        <w:t>1</w:t>
      </w:r>
      <w:r>
        <w:rPr>
          <w:b/>
          <w:color w:val="00000A"/>
          <w:sz w:val="24"/>
        </w:rPr>
        <w:t>, Harun Kaya</w:t>
      </w:r>
      <w:r>
        <w:rPr>
          <w:b/>
          <w:color w:val="00000A"/>
          <w:sz w:val="24"/>
          <w:vertAlign w:val="superscript"/>
        </w:rPr>
        <w:t xml:space="preserve">2 </w:t>
      </w:r>
      <w:r>
        <w:rPr>
          <w:b/>
          <w:color w:val="00000A"/>
          <w:sz w:val="24"/>
        </w:rPr>
        <w:t>, Davut Güler</w:t>
      </w:r>
      <w:r>
        <w:rPr>
          <w:b/>
          <w:color w:val="00000A"/>
          <w:sz w:val="24"/>
          <w:vertAlign w:val="superscript"/>
        </w:rPr>
        <w:t>2</w:t>
      </w:r>
    </w:p>
    <w:p>
      <w:pPr>
        <w:pBdr>
          <w:top w:val="none" w:color="000000" w:sz="0" w:space="0"/>
          <w:left w:val="none" w:color="000000" w:sz="0" w:space="0"/>
          <w:bottom w:val="none" w:color="000000" w:sz="0" w:space="0"/>
          <w:right w:val="none" w:color="000000" w:sz="0" w:space="0"/>
          <w:between w:val="none" w:color="000000" w:sz="0" w:space="0"/>
        </w:pBdr>
        <w:shd w:val="clear" w:color="040000" w:fill="auto"/>
        <w:suppressAutoHyphens/>
        <w:jc w:val="center"/>
        <w:rPr>
          <w:i/>
          <w:color w:val="00000A"/>
          <w:sz w:val="22"/>
        </w:rPr>
      </w:pPr>
    </w:p>
    <w:p>
      <w:pPr>
        <w:pBdr>
          <w:top w:val="none" w:color="000000" w:sz="0" w:space="0"/>
          <w:left w:val="none" w:color="000000" w:sz="0" w:space="0"/>
          <w:bottom w:val="none" w:color="000000" w:sz="0" w:space="0"/>
          <w:right w:val="none" w:color="000000" w:sz="0" w:space="0"/>
          <w:between w:val="none" w:color="000000" w:sz="0" w:space="0"/>
        </w:pBdr>
        <w:shd w:val="clear" w:color="050000" w:fill="auto"/>
        <w:suppressAutoHyphens/>
        <w:ind w:right="-29"/>
        <w:jc w:val="center"/>
        <w:rPr>
          <w:i/>
          <w:color w:val="00000A"/>
          <w:sz w:val="20"/>
        </w:rPr>
      </w:pPr>
      <w:r>
        <w:rPr>
          <w:i/>
          <w:color w:val="00000A"/>
          <w:sz w:val="20"/>
          <w:vertAlign w:val="superscript"/>
        </w:rPr>
        <w:t xml:space="preserve">1 </w:t>
      </w:r>
      <w:r>
        <w:rPr>
          <w:i/>
          <w:color w:val="00000A"/>
          <w:sz w:val="20"/>
        </w:rPr>
        <w:t>Physikalisch-Technische Bundesanstalt, Braunschweig, Germany</w:t>
      </w:r>
    </w:p>
    <w:p>
      <w:pPr>
        <w:pBdr>
          <w:top w:val="none" w:color="000000" w:sz="0" w:space="0"/>
          <w:left w:val="none" w:color="000000" w:sz="0" w:space="0"/>
          <w:bottom w:val="none" w:color="000000" w:sz="0" w:space="0"/>
          <w:right w:val="none" w:color="000000" w:sz="0" w:space="0"/>
          <w:between w:val="none" w:color="000000" w:sz="0" w:space="0"/>
        </w:pBdr>
        <w:shd w:val="clear" w:color="040000" w:fill="auto"/>
        <w:suppressAutoHyphens/>
        <w:jc w:val="center"/>
        <w:rPr>
          <w:i/>
          <w:color w:val="00000A"/>
          <w:sz w:val="20"/>
        </w:rPr>
      </w:pPr>
      <w:r>
        <w:rPr>
          <w:i/>
          <w:color w:val="00000A"/>
          <w:sz w:val="20"/>
          <w:vertAlign w:val="superscript"/>
        </w:rPr>
        <w:t>2</w:t>
      </w:r>
      <w:r>
        <w:rPr>
          <w:i/>
          <w:color w:val="00000A"/>
          <w:sz w:val="20"/>
        </w:rPr>
        <w:t>University of Duisburg-Essen, Lothar Str. 1-20, D-47057, Duisburg, Germany</w:t>
      </w:r>
    </w:p>
    <w:p>
      <w:pPr>
        <w:pBdr>
          <w:top w:val="none" w:color="000000" w:sz="0" w:space="0"/>
          <w:left w:val="none" w:color="000000" w:sz="0" w:space="0"/>
          <w:bottom w:val="none" w:color="000000" w:sz="0" w:space="0"/>
          <w:right w:val="none" w:color="000000" w:sz="0" w:space="0"/>
          <w:between w:val="none" w:color="000000" w:sz="0" w:space="0"/>
        </w:pBdr>
        <w:shd w:val="clear" w:color="040000" w:fill="auto"/>
        <w:suppressAutoHyphens/>
        <w:jc w:val="center"/>
        <w:rPr>
          <w:i/>
          <w:color w:val="00000A"/>
          <w:sz w:val="20"/>
        </w:rPr>
      </w:pPr>
    </w:p>
    <w:p>
      <w:pPr>
        <w:pStyle w:val="10"/>
        <w:rPr>
          <w:rStyle w:val="22"/>
        </w:rPr>
      </w:pPr>
      <w:r>
        <w:rPr>
          <w:rStyle w:val="22"/>
          <w:b w:val="0"/>
          <w:i/>
          <w:sz w:val="20"/>
        </w:rPr>
        <w:t>ernst3.vonlavante</w:t>
      </w:r>
      <w:r>
        <w:fldChar w:fldCharType="begin"/>
      </w:r>
      <w:r>
        <w:instrText xml:space="preserve">HYPERLINK "C:\\Users\\demirzap\\Desktop\\Pouya Mirzaei\\_D-Krohne\\0-Henrik auf Kmtentw\\0-KROHNE\\VORTEX2007-2008\\00-CPR-Corporate Research\\PUB-DIPL-PAT-CONFER\\OFS-21-Sentander 2014\\h.krisch@krohne.com;" </w:instrText>
      </w:r>
      <w:r>
        <w:fldChar w:fldCharType="separate"/>
      </w:r>
      <w:r>
        <w:rPr>
          <w:rStyle w:val="22"/>
          <w:b w:val="0"/>
          <w:i/>
          <w:sz w:val="20"/>
        </w:rPr>
        <w:t>@uni-due.de</w:t>
      </w:r>
      <w:r>
        <w:fldChar w:fldCharType="end"/>
      </w:r>
      <w:r>
        <w:rPr>
          <w:i/>
          <w:iCs/>
          <w:color w:val="00000A"/>
          <w:sz w:val="20"/>
        </w:rPr>
        <w:t xml:space="preserve">; </w:t>
      </w:r>
      <w:r>
        <w:fldChar w:fldCharType="begin"/>
      </w:r>
      <w:r>
        <w:instrText xml:space="preserve">HYPERLINK "C:\\Users\\demirzap\\Desktop\\Pouya Mirzaei\\_D-Krohne\\0-Henrik auf Kmtentw\\0-KROHNE\\VORTEX2007-2008\\00-CPR-Corporate Research\\PUB-DIPL-PAT-CONFER\\OFS-21-Sentander 2014\\www.krohne.com" </w:instrText>
      </w:r>
      <w:r>
        <w:fldChar w:fldCharType="separate"/>
      </w:r>
      <w:r>
        <w:rPr>
          <w:rStyle w:val="22"/>
          <w:i/>
          <w:iCs/>
          <w:sz w:val="20"/>
        </w:rPr>
        <w:t>www.</w:t>
      </w:r>
      <w:r>
        <w:fldChar w:fldCharType="end"/>
      </w:r>
      <w:r>
        <w:rPr>
          <w:rStyle w:val="22"/>
          <w:i/>
          <w:iCs/>
          <w:sz w:val="20"/>
        </w:rPr>
        <w:t>uni-due.de</w:t>
      </w:r>
    </w:p>
    <w:p>
      <w:r>
        <w:rPr>
          <w:rFonts w:ascii="Times New Roman" w:hAnsi="Times New Roman" w:eastAsia="Times New Roman" w:cs="Times New Roman"/>
          <w:sz w:val="24"/>
          <w:lang w:val="en-US" w:eastAsia="zh-CN" w:bidi="ar-SA"/>
        </w:rPr>
        <w:pict>
          <v:rect id="_x0000_i1025" o:spid="_x0000_s1026" style="height:1.5pt;width:487.6pt;rotation:0f;" o:ole="f" fillcolor="#808080" filled="t" o:preferrelative="t" stroked="f" coordsize="21600,21600">
            <v:imagedata gain="65536f" blacklevel="0f" gamma="0"/>
            <o:lock v:ext="edit" position="f" selection="f" grouping="f" rotation="t" cropping="f" text="f" aspectratio="f"/>
            <w10:wrap type="none"/>
            <w10:anchorlock/>
          </v:rect>
        </w:pict>
      </w:r>
    </w:p>
    <w:p>
      <w:pPr>
        <w:pStyle w:val="2"/>
      </w:pPr>
      <w:r>
        <w:t>Abstract</w:t>
      </w:r>
    </w:p>
    <w:p>
      <w:pPr>
        <w:spacing w:before="0" w:after="120"/>
        <w:jc w:val="both"/>
        <w:rPr>
          <w:sz w:val="20"/>
          <w:szCs w:val="20"/>
        </w:rPr>
      </w:pPr>
      <w:r>
        <w:rPr>
          <w:sz w:val="20"/>
          <w:szCs w:val="20"/>
        </w:rPr>
        <w:t>The influence of the shape upstream of a throat of critical flow Venturi nozzles on the discharge coefficient in general and the transition of the character of boundary layer from laminar to turbulent in particular has been studied experimentally as well as numerically. Several nozzles of various throat diameters with intake radius of curvature of 2 D</w:t>
      </w:r>
      <w:r>
        <w:rPr>
          <w:sz w:val="20"/>
          <w:szCs w:val="20"/>
          <w:vertAlign w:val="superscript"/>
        </w:rPr>
        <w:t xml:space="preserve"> </w:t>
      </w:r>
      <w:r>
        <w:rPr>
          <w:sz w:val="20"/>
          <w:szCs w:val="20"/>
        </w:rPr>
        <w:t>and 1 D</w:t>
      </w:r>
      <w:r>
        <w:rPr>
          <w:sz w:val="20"/>
          <w:szCs w:val="20"/>
          <w:vertAlign w:val="superscript"/>
        </w:rPr>
        <w:t xml:space="preserve"> </w:t>
      </w:r>
      <w:r>
        <w:rPr>
          <w:sz w:val="20"/>
          <w:szCs w:val="20"/>
        </w:rPr>
        <w:t>(D</w:t>
      </w:r>
      <w:r>
        <w:rPr>
          <w:sz w:val="20"/>
          <w:szCs w:val="20"/>
          <w:vertAlign w:val="superscript"/>
        </w:rPr>
        <w:t xml:space="preserve"> </w:t>
      </w:r>
      <w:r>
        <w:rPr>
          <w:sz w:val="20"/>
          <w:szCs w:val="20"/>
        </w:rPr>
        <w:t xml:space="preserve">being the throat diameter) have been investigated experimentally </w:t>
      </w:r>
      <w:r>
        <w:rPr>
          <w:sz w:val="20"/>
          <w:szCs w:val="20"/>
          <w:lang/>
        </w:rPr>
        <w:t xml:space="preserve">by </w:t>
      </w:r>
      <w:r>
        <w:rPr>
          <w:color w:val="000000"/>
          <w:sz w:val="20"/>
        </w:rPr>
        <w:t>the High Pressure Piston Prover of the Physikalisch-Technische Bundesanstalt (PTB) located</w:t>
      </w:r>
      <w:r>
        <w:rPr>
          <w:color w:val="000000"/>
          <w:sz w:val="20"/>
          <w:lang/>
        </w:rPr>
        <w:t xml:space="preserve"> </w:t>
      </w:r>
      <w:r>
        <w:rPr>
          <w:sz w:val="20"/>
          <w:szCs w:val="20"/>
        </w:rPr>
        <w:t>in Dorsten, Germany, at pressures up to 50 bar, resulting in Reynolds numbers larger than 2</w:t>
      </w:r>
      <w:r>
        <w:rPr>
          <w:rFonts w:hint="default" w:ascii="Times New Roman" w:hAnsi="Times New Roman" w:cs="Times New Roman"/>
          <w:sz w:val="20"/>
          <w:szCs w:val="20"/>
        </w:rPr>
        <w:t>·</w:t>
      </w:r>
      <w:r>
        <w:rPr>
          <w:sz w:val="20"/>
          <w:szCs w:val="20"/>
        </w:rPr>
        <w:t>10</w:t>
      </w:r>
      <w:r>
        <w:rPr>
          <w:sz w:val="20"/>
          <w:szCs w:val="20"/>
          <w:vertAlign w:val="superscript"/>
        </w:rPr>
        <w:t xml:space="preserve">6 </w:t>
      </w:r>
      <w:r>
        <w:rPr>
          <w:sz w:val="20"/>
          <w:szCs w:val="20"/>
        </w:rPr>
        <w:t>. Two of the nozzles consisted of two parts divided axially to allow the visualization of the flow transition. Subsequently, the nozzle geometry was measured at the PTB and calibrated using low pressure air.  In parallel effort, the flow field in the nozzles was simulated using different boundary layer treatment. The effect of the nozzle geometry on the transitional behaviour was discussed.</w:t>
      </w:r>
    </w:p>
    <w:p>
      <w:r>
        <w:rPr>
          <w:rFonts w:ascii="Times New Roman" w:hAnsi="Times New Roman" w:eastAsia="Times New Roman" w:cs="Times New Roman"/>
          <w:sz w:val="24"/>
          <w:lang w:val="en-US" w:eastAsia="zh-CN" w:bidi="ar-SA"/>
        </w:rPr>
        <w:pict>
          <v:rect id="_x0000_i1026" o:spid="_x0000_s1027" style="height:1.5pt;width:487.6pt;rotation:0f;" o:ole="f" fillcolor="#808080" filled="t" o:preferrelative="t" stroked="f" coordsize="21600,21600">
            <v:imagedata gain="65536f" blacklevel="0f" gamma="0"/>
            <o:lock v:ext="edit" position="f" selection="f" grouping="f" rotation="t" cropping="f" text="f" aspectratio="f"/>
            <w10:wrap type="none"/>
            <w10:anchorlock/>
          </v:rect>
        </w:pict>
      </w:r>
    </w:p>
    <w:p>
      <w:pPr>
        <w:sectPr>
          <w:footerReference r:id="rId4" w:type="default"/>
          <w:pgSz w:w="11906" w:h="16838"/>
          <w:pgMar w:top="1440" w:right="1077" w:bottom="1440" w:left="1077" w:header="720" w:footer="720" w:gutter="0"/>
          <w:cols w:space="720" w:num="1"/>
        </w:sectPr>
      </w:pPr>
    </w:p>
    <w:p>
      <w:pPr>
        <w:pStyle w:val="5"/>
      </w:pPr>
    </w:p>
    <w:p>
      <w:pPr>
        <w:pStyle w:val="2"/>
      </w:pPr>
      <w:r>
        <w:t>1. Introduction</w:t>
      </w:r>
    </w:p>
    <w:p>
      <w:pPr>
        <w:pStyle w:val="17"/>
        <w:rPr>
          <w:lang w:val="en-US"/>
        </w:rPr>
      </w:pPr>
      <w:r>
        <w:rPr>
          <w:lang w:val="en-US"/>
        </w:rPr>
        <w:t>The flow fields in two toroidal Venturi nozzles operating at critical conditions have been investigated using numerical flow simulation. The present study focused on the transitional effects in the boundary layer, occurring at Reynolds numbers of approximately one million and above, while concentrating on modified nozzle shapes as investigated experimentally by Ishibashi and Funaki [1]. In that publication, several modifications of the standard critical flow Venturi nozzles (CFVN) according to the ISO 9300 standard have been introduced. Depending on the shape of the nozzles, the discharge coefficient as a function of the nozzle Reynolds number diplayed behavior that was widely varying and, in contrast to the standard nozzle, not following the expected transitional dependency. Consequently, in [1], a consistant terminology has been introduced, see Fig. 1. In Fig. 1, D denotes the diameter  of the nozzle at the throat.</w:t>
      </w:r>
    </w:p>
    <w:p>
      <w:pPr>
        <w:pStyle w:val="5"/>
      </w:pPr>
      <w:r>
        <w:rPr>
          <w:rFonts w:ascii="Arial" w:hAnsi="Arial" w:eastAsia="Arial" w:cs="Arial"/>
          <w:sz w:val="24"/>
          <w:lang w:val="en-US" w:eastAsia="zh-CN" w:bidi="ar-SA"/>
        </w:rPr>
        <w:pict>
          <v:shape id="Picture Frame 1030" o:spid="_x0000_s1028" type="#_x0000_t75" style="height:140.5pt;width:227.1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pStyle w:val="5"/>
        <w:rPr>
          <w:sz w:val="16"/>
          <w:szCs w:val="16"/>
        </w:rPr>
      </w:pPr>
      <w:r>
        <w:rPr>
          <w:b/>
          <w:bCs/>
          <w:sz w:val="16"/>
          <w:szCs w:val="16"/>
        </w:rPr>
        <w:t>Figure1:</w:t>
      </w:r>
      <w:r>
        <w:rPr>
          <w:sz w:val="16"/>
          <w:szCs w:val="16"/>
        </w:rPr>
        <w:t xml:space="preserve"> </w:t>
      </w:r>
      <w:r>
        <w:rPr>
          <w:rFonts w:eastAsia="Arial"/>
          <w:sz w:val="16"/>
          <w:szCs w:val="16"/>
          <w:lang w:val="en-US"/>
        </w:rPr>
        <w:t>C</w:t>
      </w:r>
      <w:r>
        <w:rPr>
          <w:rFonts w:eastAsia="Arial"/>
          <w:sz w:val="16"/>
          <w:szCs w:val="16"/>
          <w:vertAlign w:val="subscript"/>
          <w:lang w:val="en-US"/>
        </w:rPr>
        <w:t>D</w:t>
      </w:r>
      <w:r>
        <w:rPr>
          <w:rFonts w:eastAsia="Arial"/>
          <w:sz w:val="16"/>
          <w:szCs w:val="16"/>
          <w:lang w:val="en-US"/>
        </w:rPr>
        <w:t xml:space="preserve"> coefficient as a function of the Re-number with the three characteristic, curves: a) laminar, n) extended turbulent and s) transitional, from [1]</w:t>
      </w:r>
    </w:p>
    <w:p>
      <w:pPr>
        <w:pStyle w:val="5"/>
      </w:pPr>
      <w:r>
        <w:t xml:space="preserve"> </w:t>
      </w:r>
    </w:p>
    <w:p>
      <w:pPr>
        <w:pStyle w:val="17"/>
        <w:ind w:left="0" w:leftChars="0" w:firstLine="0" w:firstLineChars="0"/>
      </w:pPr>
      <w:r>
        <w:rPr>
          <w:lang w:val="en-US"/>
        </w:rPr>
        <w:t xml:space="preserve">However, even in view of the detailed experimental work, the apparent change in the transitional behavior could not be explained, as only global results (CD vs. Re-number) were available. </w:t>
      </w:r>
      <w:r>
        <w:t>The present authors observed that the transitional curve (connection between the laminar and turbulent parts of the diagramm) greatly differred depending on the nozzle shape, size and surface roughness. A generalized procedure for determining a mathematical expression for the shape of the curve describing the dependency of the discharge coefficient on the Reynolds number has been introduced by Mickan, Kramer and Dopheide in [2].</w:t>
      </w:r>
    </w:p>
    <w:p>
      <w:pPr>
        <w:pStyle w:val="17"/>
        <w:ind w:left="0" w:leftChars="0" w:firstLine="0" w:firstLineChars="0"/>
      </w:pPr>
    </w:p>
    <w:p>
      <w:pPr>
        <w:pStyle w:val="17"/>
        <w:ind w:left="0" w:leftChars="0" w:firstLine="0" w:firstLineChars="0"/>
      </w:pPr>
      <w:r>
        <w:t xml:space="preserve">It was therefore </w:t>
      </w:r>
      <w:r>
        <w:rPr>
          <w:lang w:val="en-US"/>
        </w:rPr>
        <w:t xml:space="preserve">decided to carry out </w:t>
      </w:r>
      <w:r>
        <w:t xml:space="preserve">an investigation of two of the modified shape nozzles from [1] and to compare these with the standard ISO 9300 nozzles that were studied previously. The primary effort was the experimental investigation at high Reynolds numbers using natural gas as flow medium, followed by </w:t>
      </w:r>
      <w:r>
        <w:rPr>
          <w:lang w:val="en-US"/>
        </w:rPr>
        <w:t>flow field analysis based on numerical flow simulations</w:t>
      </w:r>
      <w:r>
        <w:t>.</w:t>
      </w:r>
      <w:r>
        <w:rPr>
          <w:lang w:val="en-US"/>
        </w:rPr>
        <w:t xml:space="preserve"> After the flow field with the corresponding conservative flow variables was obtained, the bypass transi</w:t>
      </w:r>
      <w:r>
        <w:t>tio</w:t>
      </w:r>
      <w:r>
        <w:rPr>
          <w:lang w:val="en-US"/>
        </w:rPr>
        <w:t>n of the boundary layer from laminar to turbulent could be predicted by applying the Abu Ghannam-Shaw (AGS) criterium [</w:t>
      </w:r>
      <w:r>
        <w:t>3</w:t>
      </w:r>
      <w:r>
        <w:rPr>
          <w:lang w:val="en-US"/>
        </w:rPr>
        <w:t xml:space="preserve">]. </w:t>
      </w:r>
      <w:r>
        <w:t>The details of the application of this transition model have been outlined by von Lavante et al [4].</w:t>
      </w:r>
    </w:p>
    <w:p>
      <w:pPr>
        <w:pStyle w:val="17"/>
        <w:ind w:left="0" w:leftChars="0" w:firstLine="0" w:firstLineChars="0"/>
      </w:pPr>
    </w:p>
    <w:p>
      <w:pPr>
        <w:pStyle w:val="17"/>
        <w:ind w:left="0" w:leftChars="0" w:firstLine="0" w:firstLineChars="0"/>
      </w:pPr>
      <w:r>
        <w:t>The outflow pressure ratio p</w:t>
      </w:r>
      <w:r>
        <w:rPr>
          <w:vertAlign w:val="subscript"/>
        </w:rPr>
        <w:t>out</w:t>
      </w:r>
      <w:r>
        <w:t>/P</w:t>
      </w:r>
      <w:r>
        <w:rPr>
          <w:vertAlign w:val="subscript"/>
        </w:rPr>
        <w:t>0</w:t>
      </w:r>
      <w:r>
        <w:t xml:space="preserve"> was selected such that the so called premature unchoking would be avoided as much as possible to eliminate the additional effect of unsteady shocks moving upstream through the throat causing a reduction in the discharge coefficient c</w:t>
      </w:r>
      <w:r>
        <w:rPr>
          <w:vertAlign w:val="subscript"/>
        </w:rPr>
        <w:t>d</w:t>
      </w:r>
      <w:r>
        <w:t>. Details can be obtained from, for example, von Lavante et al [5].</w:t>
      </w:r>
    </w:p>
    <w:p>
      <w:pPr>
        <w:pStyle w:val="17"/>
        <w:ind w:left="0" w:leftChars="0" w:firstLine="0" w:firstLineChars="0"/>
      </w:pPr>
    </w:p>
    <w:p>
      <w:pPr>
        <w:pStyle w:val="17"/>
        <w:ind w:left="0" w:leftChars="0" w:firstLine="0" w:firstLineChars="0"/>
        <w:rPr>
          <w:b/>
          <w:bCs/>
        </w:rPr>
      </w:pPr>
      <w:r>
        <w:rPr>
          <w:b/>
          <w:bCs/>
        </w:rPr>
        <w:t>2. Experimental Work</w:t>
      </w:r>
    </w:p>
    <w:p>
      <w:pPr>
        <w:pStyle w:val="17"/>
        <w:ind w:left="0" w:leftChars="0" w:firstLine="0" w:firstLineChars="0"/>
        <w:rPr>
          <w:lang w:val="en-US"/>
        </w:rPr>
      </w:pPr>
    </w:p>
    <w:p>
      <w:pPr>
        <w:pStyle w:val="17"/>
        <w:ind w:left="0" w:leftChars="0" w:firstLine="0" w:firstLineChars="0"/>
        <w:rPr>
          <w:lang w:val="en-US"/>
        </w:rPr>
      </w:pPr>
      <w:r>
        <w:t>In order to obtain high Reynolds numbers in access of 5</w:t>
      </w:r>
      <w:r>
        <w:rPr>
          <w:rFonts w:hint="default" w:ascii="Times New Roman" w:hAnsi="Times New Roman" w:cs="Times New Roman"/>
        </w:rPr>
        <w:t>·</w:t>
      </w:r>
      <w:r>
        <w:rPr>
          <w:rFonts w:hint="default" w:cs="Times New Roman"/>
        </w:rPr>
        <w:t>10</w:t>
      </w:r>
      <w:r>
        <w:rPr>
          <w:rFonts w:hint="default" w:cs="Times New Roman"/>
          <w:vertAlign w:val="superscript"/>
        </w:rPr>
        <w:t>6</w:t>
      </w:r>
      <w:r>
        <w:rPr>
          <w:rFonts w:hint="default" w:cs="Times New Roman"/>
        </w:rPr>
        <w:t xml:space="preserve"> , it was decided to carry out experimental work at the pigsar facility in Dorsten, Germany. </w:t>
      </w:r>
      <w:r>
        <w:t>At pigsar, PTB operates the German primary standard for natural gas under high pressure, shown in Figure 2 (high pressure piston prover HPPP).</w:t>
      </w:r>
    </w:p>
    <w:p>
      <w:pPr>
        <w:pStyle w:val="17"/>
        <w:ind w:left="0" w:leftChars="0" w:firstLine="0" w:firstLineChars="0"/>
      </w:pPr>
      <w:r>
        <w:rPr>
          <w:rFonts w:ascii="Times New Roman" w:hAnsi="Times New Roman" w:eastAsia="Times New Roman" w:cs="Times New Roman"/>
          <w:color w:val="auto"/>
          <w:sz w:val="20"/>
          <w:lang w:val="en-US" w:eastAsia="zh-CN" w:bidi="ar-SA"/>
        </w:rPr>
        <w:pict>
          <v:shape id="Picture Frame 1035" o:spid="_x0000_s1029" type="#_x0000_t75" style="height:237.6pt;width:219.6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pStyle w:val="17"/>
        <w:ind w:left="0" w:leftChars="0" w:firstLine="0" w:firstLineChars="0"/>
        <w:rPr>
          <w:b w:val="0"/>
          <w:bCs w:val="0"/>
          <w:sz w:val="16"/>
          <w:szCs w:val="16"/>
        </w:rPr>
      </w:pPr>
      <w:r>
        <w:rPr>
          <w:b/>
          <w:bCs/>
          <w:sz w:val="16"/>
          <w:szCs w:val="16"/>
        </w:rPr>
        <w:t>Figure 2:</w:t>
      </w:r>
      <w:r>
        <w:rPr>
          <w:b w:val="0"/>
          <w:bCs w:val="0"/>
          <w:sz w:val="16"/>
          <w:szCs w:val="16"/>
        </w:rPr>
        <w:t xml:space="preserve"> CFVNs in two banks at pigsar.</w:t>
      </w:r>
    </w:p>
    <w:p>
      <w:pPr>
        <w:pStyle w:val="17"/>
        <w:ind w:left="0" w:leftChars="0" w:firstLine="0" w:firstLineChars="0"/>
        <w:rPr>
          <w:b w:val="0"/>
          <w:bCs w:val="0"/>
          <w:sz w:val="16"/>
          <w:szCs w:val="16"/>
        </w:rPr>
      </w:pPr>
    </w:p>
    <w:p>
      <w:pPr>
        <w:pStyle w:val="17"/>
        <w:ind w:left="0" w:leftChars="0" w:firstLine="0" w:firstLineChars="0"/>
        <w:rPr>
          <w:vertAlign w:val="subscript"/>
        </w:rPr>
      </w:pPr>
      <w:r>
        <w:t>The operation range of the HPPP is in volume flow rate from 3 m</w:t>
      </w:r>
      <w:r>
        <w:rPr>
          <w:vertAlign w:val="superscript"/>
        </w:rPr>
        <w:t>3</w:t>
      </w:r>
      <w:r>
        <w:t>/h to 480 m</w:t>
      </w:r>
      <w:r>
        <w:rPr>
          <w:vertAlign w:val="superscript"/>
        </w:rPr>
        <w:t>3</w:t>
      </w:r>
      <w:r>
        <w:t xml:space="preserve">/h and in pressure from 0.8 MPa to 5.6 MPa. The relative expanded uncertainty for calibrations of critical nozzles is 0.074 % including the determination of </w:t>
      </w:r>
      <w:r>
        <w:rPr>
          <w:i/>
        </w:rPr>
        <w:t>C</w:t>
      </w:r>
      <w:r>
        <w:t xml:space="preserve">* and </w:t>
      </w:r>
      <w:r>
        <w:rPr>
          <w:i/>
        </w:rPr>
        <w:t>M</w:t>
      </w:r>
      <w:r>
        <w:rPr>
          <w:vertAlign w:val="subscript"/>
        </w:rPr>
        <w:t>mol</w:t>
      </w:r>
      <w:r>
        <w:rPr>
          <w:lang/>
        </w:rPr>
        <w:t xml:space="preserve"> .</w:t>
      </w:r>
    </w:p>
    <w:p>
      <w:pPr>
        <w:pStyle w:val="17"/>
        <w:ind w:left="0" w:leftChars="0" w:firstLine="0" w:firstLineChars="0"/>
        <w:rPr>
          <w:rFonts w:hint="default"/>
          <w:vertAlign w:val="subscript"/>
        </w:rPr>
      </w:pPr>
    </w:p>
    <w:p>
      <w:pPr>
        <w:pStyle w:val="17"/>
        <w:ind w:left="0" w:leftChars="0" w:firstLine="0" w:firstLineChars="0"/>
        <w:rPr>
          <w:rFonts w:hint="default"/>
          <w:b w:val="0"/>
          <w:bCs w:val="0"/>
          <w:sz w:val="20"/>
          <w:szCs w:val="20"/>
        </w:rPr>
      </w:pPr>
      <w:r>
        <w:rPr>
          <w:rFonts w:hint="default"/>
          <w:b w:val="0"/>
          <w:bCs w:val="0"/>
          <w:sz w:val="20"/>
          <w:szCs w:val="20"/>
        </w:rPr>
        <w:t>The experiments were performed with standard ISO 9300 CFVNs of throat diameters between 2 mm and 25.2 mm, and with two special non-standard nozzles resembling those in [1] having nominally D = 7 mm.</w:t>
      </w:r>
    </w:p>
    <w:p>
      <w:pPr>
        <w:pStyle w:val="17"/>
        <w:ind w:left="0" w:leftChars="0" w:firstLine="0" w:firstLineChars="0"/>
        <w:rPr>
          <w:rFonts w:hint="default"/>
          <w:b w:val="0"/>
          <w:bCs w:val="0"/>
          <w:sz w:val="20"/>
          <w:szCs w:val="20"/>
        </w:rPr>
      </w:pPr>
    </w:p>
    <w:p>
      <w:pPr>
        <w:pStyle w:val="17"/>
        <w:ind w:left="0" w:leftChars="0" w:firstLine="0" w:firstLineChars="0"/>
        <w:rPr>
          <w:rFonts w:hint="default"/>
          <w:b w:val="0"/>
          <w:bCs w:val="0"/>
          <w:sz w:val="20"/>
          <w:szCs w:val="20"/>
        </w:rPr>
      </w:pPr>
      <w:r>
        <w:rPr>
          <w:rFonts w:hint="default"/>
          <w:b w:val="0"/>
          <w:bCs w:val="0"/>
          <w:sz w:val="20"/>
          <w:szCs w:val="20"/>
        </w:rPr>
        <w:t>The special nozzles were manufactured with an intake radius of curvature of R</w:t>
      </w:r>
      <w:r>
        <w:rPr>
          <w:rFonts w:hint="default"/>
          <w:b w:val="0"/>
          <w:bCs w:val="0"/>
          <w:sz w:val="20"/>
          <w:szCs w:val="20"/>
          <w:vertAlign w:val="subscript"/>
        </w:rPr>
        <w:t>c</w:t>
      </w:r>
      <w:r>
        <w:rPr>
          <w:rFonts w:hint="default"/>
          <w:b w:val="0"/>
          <w:bCs w:val="0"/>
          <w:sz w:val="20"/>
          <w:szCs w:val="20"/>
        </w:rPr>
        <w:t xml:space="preserve"> = 2D and R</w:t>
      </w:r>
      <w:r>
        <w:rPr>
          <w:rFonts w:hint="default"/>
          <w:b w:val="0"/>
          <w:bCs w:val="0"/>
          <w:sz w:val="20"/>
          <w:szCs w:val="20"/>
          <w:vertAlign w:val="subscript"/>
        </w:rPr>
        <w:t>c</w:t>
      </w:r>
      <w:r>
        <w:rPr>
          <w:rFonts w:hint="default"/>
          <w:b w:val="0"/>
          <w:bCs w:val="0"/>
          <w:sz w:val="20"/>
          <w:szCs w:val="20"/>
        </w:rPr>
        <w:t xml:space="preserve"> = 1D. </w:t>
      </w:r>
    </w:p>
    <w:p>
      <w:pPr>
        <w:pStyle w:val="17"/>
        <w:ind w:left="0" w:leftChars="0" w:firstLine="0" w:firstLineChars="0"/>
      </w:pPr>
      <w:r>
        <w:rPr>
          <w:rFonts w:ascii="Times New Roman" w:hAnsi="Times New Roman" w:eastAsia="Times New Roman" w:cs="Times New Roman"/>
          <w:color w:val="auto"/>
          <w:sz w:val="20"/>
          <w:lang w:val="en-US" w:eastAsia="zh-CN" w:bidi="ar-SA"/>
        </w:rPr>
        <w:pict>
          <v:shape id="Picture Frame 18" o:spid="_x0000_s1030" type="#_x0000_t75" style="height:138.4pt;width:184.55pt;rotation:0f;" o:ole="f" fillcolor="#FFFFFF" filled="f" o:preferrelative="t" stroked="f" coordorigin="0,0" coordsize="21600,21600">
            <v:fill on="f" color2="#FFFFFF" focus="0%"/>
            <v:imagedata gain="65536f" blacklevel="0f" gamma="0" o:title="P8261042" r:id="rId9"/>
            <o:lock v:ext="edit" position="f" selection="f" grouping="f" rotation="f" cropping="f" text="f" aspectratio="t"/>
            <w10:wrap type="none"/>
            <w10:anchorlock/>
          </v:shape>
        </w:pict>
      </w:r>
    </w:p>
    <w:p>
      <w:pPr>
        <w:pStyle w:val="17"/>
        <w:ind w:left="0" w:leftChars="0" w:firstLine="0" w:firstLineChars="0"/>
        <w:rPr>
          <w:b w:val="0"/>
          <w:bCs w:val="0"/>
          <w:sz w:val="20"/>
          <w:szCs w:val="20"/>
        </w:rPr>
      </w:pPr>
      <w:r>
        <w:rPr>
          <w:rFonts w:ascii="Times New Roman" w:hAnsi="Times New Roman" w:eastAsia="Times New Roman" w:cs="Times New Roman"/>
          <w:color w:val="auto"/>
          <w:sz w:val="20"/>
          <w:lang w:val="en-US" w:eastAsia="zh-CN" w:bidi="ar-SA"/>
        </w:rPr>
        <w:pict>
          <v:shape id="Picture 1" o:spid="_x0000_s1031" type="#_x0000_t75" style="position:absolute;left:0;margin-left:1127.4pt;margin-top:96pt;height:360pt;width:456pt;mso-position-horizontal-relative:page;mso-position-vertical-relative:page;rotation:0f;z-index:251663360;" o:ole="f" fillcolor="#FFFFFF" filled="t" o:preferrelative="t" stroked="t" coordorigin="0,0" coordsize="21600,21600">
            <v:stroke color="#000000" color2="#FFFFFF" miterlimit="2"/>
            <v:imagedata gain="65536f" blacklevel="0f" gamma="0" o:title="" r:id="rId10"/>
            <o:lock v:ext="edit" position="f" selection="f" grouping="f" rotation="f" cropping="f" text="f" aspectratio="t"/>
          </v:shape>
        </w:pict>
      </w:r>
      <w:r>
        <w:rPr>
          <w:rFonts w:ascii="Times New Roman" w:hAnsi="Times New Roman" w:eastAsia="Times New Roman" w:cs="Times New Roman"/>
          <w:color w:val="auto"/>
          <w:sz w:val="20"/>
          <w:lang w:val="en-US" w:eastAsia="zh-CN" w:bidi="ar-SA"/>
        </w:rPr>
        <w:pict>
          <v:shape id="Picture 1" o:spid="_x0000_s1032" type="#_x0000_t75" style="position:absolute;left:0;margin-left:1115.4pt;margin-top:84pt;height:360pt;width:456pt;mso-position-horizontal-relative:page;mso-position-vertical-relative:page;rotation:0f;z-index:251662336;" o:ole="f" fillcolor="#FFFFFF" filled="t" o:preferrelative="t" stroked="t" coordorigin="0,0" coordsize="21600,21600">
            <v:stroke color="#000000" color2="#FFFFFF" miterlimit="2"/>
            <v:imagedata gain="65536f" blacklevel="0f" gamma="0" o:title="" r:id="rId10"/>
            <o:lock v:ext="edit" position="f" selection="f" grouping="f" rotation="f" cropping="f" text="f" aspectratio="t"/>
          </v:shape>
        </w:pict>
      </w:r>
      <w:r>
        <w:rPr>
          <w:rFonts w:ascii="Times New Roman" w:hAnsi="Times New Roman" w:eastAsia="Times New Roman" w:cs="Times New Roman"/>
          <w:color w:val="auto"/>
          <w:sz w:val="20"/>
          <w:lang w:val="en-US" w:eastAsia="zh-CN" w:bidi="ar-SA"/>
        </w:rPr>
        <w:pict>
          <v:shape id="Picture 1" o:spid="_x0000_s1033" type="#_x0000_t75" style="position:absolute;left:0;margin-left:1092pt;margin-top:60.6pt;height:360pt;width:456pt;mso-position-horizontal-relative:page;mso-position-vertical-relative:page;rotation:0f;z-index:251661312;" o:ole="f" fillcolor="#FFFFFF" filled="t" o:preferrelative="t" stroked="t" coordorigin="0,0" coordsize="21600,21600">
            <v:stroke color="#000000" color2="#FFFFFF" miterlimit="2"/>
            <v:imagedata gain="65536f" blacklevel="0f" gamma="0" o:title="" r:id="rId10"/>
            <o:lock v:ext="edit" position="f" selection="f" grouping="f" rotation="f" cropping="f" text="f" aspectratio="t"/>
          </v:shape>
        </w:pict>
      </w:r>
      <w:r>
        <w:rPr>
          <w:rFonts w:ascii="Times New Roman" w:hAnsi="Times New Roman" w:eastAsia="Times New Roman" w:cs="Times New Roman"/>
          <w:color w:val="auto"/>
          <w:sz w:val="20"/>
          <w:lang w:val="en-US" w:eastAsia="zh-CN" w:bidi="ar-SA"/>
        </w:rPr>
        <w:pict>
          <v:shape id="Picture 1" o:spid="_x0000_s1034" type="#_x0000_t75" style="position:absolute;left:0;margin-left:1080pt;margin-top:48.6pt;height:360pt;width:456pt;mso-position-horizontal-relative:page;mso-position-vertical-relative:page;rotation:0f;z-index:251660288;" o:ole="f" fillcolor="#FFFFFF" filled="t" o:preferrelative="t" stroked="t" coordorigin="0,0" coordsize="21600,21600">
            <v:stroke color="#000000" color2="#FFFFFF" miterlimit="2"/>
            <v:imagedata gain="65536f" blacklevel="0f" gamma="0" o:title="" r:id="rId10"/>
            <o:lock v:ext="edit" position="f" selection="f" grouping="f" rotation="f" cropping="f" text="f" aspectratio="t"/>
          </v:shape>
        </w:pict>
      </w:r>
      <w:r>
        <w:rPr>
          <w:b/>
          <w:bCs/>
          <w:sz w:val="16"/>
          <w:szCs w:val="16"/>
        </w:rPr>
        <w:t xml:space="preserve">Figure 3: </w:t>
      </w:r>
      <w:r>
        <w:rPr>
          <w:b w:val="0"/>
          <w:bCs w:val="0"/>
          <w:sz w:val="16"/>
          <w:szCs w:val="16"/>
        </w:rPr>
        <w:t>Shape of the non-standard nozzles.</w:t>
      </w:r>
    </w:p>
    <w:p>
      <w:pPr>
        <w:pStyle w:val="17"/>
        <w:ind w:left="0" w:leftChars="0" w:firstLine="0" w:firstLineChars="0"/>
        <w:rPr>
          <w:b w:val="0"/>
          <w:bCs w:val="0"/>
          <w:sz w:val="20"/>
          <w:szCs w:val="20"/>
        </w:rPr>
      </w:pPr>
    </w:p>
    <w:p>
      <w:pPr>
        <w:pStyle w:val="17"/>
        <w:ind w:left="0" w:leftChars="0" w:firstLine="0" w:firstLineChars="0"/>
        <w:rPr>
          <w:b w:val="0"/>
          <w:bCs w:val="0"/>
          <w:sz w:val="20"/>
          <w:szCs w:val="20"/>
        </w:rPr>
      </w:pPr>
      <w:r>
        <w:rPr>
          <w:b w:val="0"/>
          <w:bCs w:val="0"/>
          <w:sz w:val="20"/>
          <w:szCs w:val="20"/>
        </w:rPr>
        <w:t>There were two versions of each, resulting in 4 nozzles all together, all made out of special aluminum alloy. Two were manufactured the usual way out of one piece,  and two were cut in half, as shown in Figure 3, making the application of flat black paint and shear sensitive crystals possible. The purpose was an attempted flow visualisierung inside the nozzle.</w:t>
      </w:r>
    </w:p>
    <w:p>
      <w:pPr>
        <w:pStyle w:val="17"/>
        <w:ind w:left="0" w:leftChars="0" w:firstLine="0" w:firstLineChars="0"/>
        <w:rPr>
          <w:b w:val="0"/>
          <w:bCs w:val="0"/>
          <w:sz w:val="20"/>
          <w:szCs w:val="20"/>
        </w:rPr>
      </w:pPr>
    </w:p>
    <w:p>
      <w:pPr>
        <w:pStyle w:val="17"/>
        <w:ind w:left="0" w:leftChars="0" w:firstLine="0" w:firstLineChars="0"/>
        <w:rPr>
          <w:b w:val="0"/>
          <w:bCs w:val="0"/>
          <w:sz w:val="20"/>
          <w:szCs w:val="20"/>
        </w:rPr>
      </w:pPr>
      <w:r>
        <w:rPr>
          <w:b w:val="0"/>
          <w:bCs w:val="0"/>
          <w:sz w:val="20"/>
          <w:szCs w:val="20"/>
        </w:rPr>
        <w:t>From the data obtained at the pigsar facility, the begining and the end of the transition in terms of the corresponding Reynolds number based on the throat diameter D were deduced. The result can be seen in Figure 4.</w:t>
      </w:r>
    </w:p>
    <w:p>
      <w:pPr>
        <w:pStyle w:val="17"/>
        <w:ind w:left="0" w:leftChars="0" w:firstLine="0" w:firstLineChars="0"/>
        <w:rPr>
          <w:b w:val="0"/>
          <w:bCs w:val="0"/>
          <w:sz w:val="20"/>
          <w:szCs w:val="20"/>
        </w:rPr>
      </w:pPr>
    </w:p>
    <w:p>
      <w:pPr>
        <w:pStyle w:val="17"/>
        <w:ind w:left="0" w:leftChars="0" w:firstLine="0" w:firstLineChars="0"/>
        <w:rPr>
          <w:b w:val="0"/>
          <w:bCs w:val="0"/>
          <w:sz w:val="20"/>
          <w:szCs w:val="20"/>
        </w:rPr>
      </w:pPr>
      <w:r>
        <w:rPr>
          <w:rFonts w:ascii="Times New Roman" w:hAnsi="Times New Roman" w:eastAsia="Times New Roman" w:cs="Times New Roman"/>
          <w:b w:val="0"/>
          <w:bCs w:val="0"/>
          <w:color w:val="auto"/>
          <w:sz w:val="20"/>
          <w:szCs w:val="20"/>
          <w:lang w:val="en-US" w:eastAsia="zh-CN" w:bidi="ar-SA"/>
        </w:rPr>
        <w:pict>
          <v:shape id="Picture Frame 19" o:spid="_x0000_s1035" type="#_x0000_t75" style="height:159.45pt;width:225.6pt;rotation:0f;" o:ole="f" fillcolor="#FFFFFF" filled="f" o:preferrelative="t" stroked="f" coordorigin="0,0" coordsize="21600,21600">
            <v:fill on="f" color2="#FFFFFF" focus="0%"/>
            <v:imagedata gain="65536f" blacklevel="0f" gamma="0" o:title="Overview_Transition_withCMS-data" r:id="rId11"/>
            <o:lock v:ext="edit" position="f" selection="f" grouping="f" rotation="f" cropping="f" text="f" aspectratio="t"/>
            <w10:wrap type="none"/>
            <w10:anchorlock/>
          </v:shape>
        </w:pict>
      </w:r>
    </w:p>
    <w:p>
      <w:pPr>
        <w:pStyle w:val="17"/>
        <w:ind w:left="0" w:leftChars="0" w:firstLine="0" w:firstLineChars="0"/>
        <w:rPr>
          <w:b w:val="0"/>
          <w:bCs w:val="0"/>
          <w:sz w:val="16"/>
          <w:szCs w:val="16"/>
        </w:rPr>
      </w:pPr>
      <w:r>
        <w:rPr>
          <w:b/>
          <w:bCs/>
          <w:sz w:val="16"/>
          <w:szCs w:val="16"/>
        </w:rPr>
        <w:t>Figure 4:</w:t>
      </w:r>
      <w:r>
        <w:rPr>
          <w:b w:val="0"/>
          <w:bCs w:val="0"/>
          <w:sz w:val="16"/>
          <w:szCs w:val="16"/>
        </w:rPr>
        <w:t xml:space="preserve"> Begin</w:t>
      </w:r>
      <w:r>
        <w:rPr>
          <w:b w:val="0"/>
          <w:bCs w:val="0"/>
          <w:sz w:val="16"/>
          <w:szCs w:val="16"/>
          <w:lang/>
        </w:rPr>
        <w:t>n</w:t>
      </w:r>
      <w:r>
        <w:rPr>
          <w:b w:val="0"/>
          <w:bCs w:val="0"/>
          <w:sz w:val="16"/>
          <w:szCs w:val="16"/>
        </w:rPr>
        <w:t>ing and end of transition in terms of  Reynolds No.</w:t>
      </w:r>
      <w:r>
        <w:rPr>
          <w:b w:val="0"/>
          <w:bCs w:val="0"/>
          <w:sz w:val="16"/>
          <w:szCs w:val="16"/>
          <w:lang/>
        </w:rPr>
        <w:t xml:space="preserve"> With kind permission from CMS.</w:t>
      </w:r>
    </w:p>
    <w:p>
      <w:pPr>
        <w:pStyle w:val="17"/>
        <w:ind w:left="0" w:leftChars="0" w:firstLine="0" w:firstLineChars="0"/>
        <w:rPr>
          <w:b w:val="0"/>
          <w:bCs w:val="0"/>
          <w:sz w:val="16"/>
          <w:szCs w:val="16"/>
        </w:rPr>
      </w:pPr>
    </w:p>
    <w:p>
      <w:pPr>
        <w:pStyle w:val="17"/>
        <w:ind w:left="0" w:leftChars="0" w:firstLine="0" w:firstLineChars="0"/>
        <w:rPr>
          <w:b w:val="0"/>
          <w:bCs w:val="0"/>
          <w:sz w:val="20"/>
          <w:szCs w:val="20"/>
        </w:rPr>
      </w:pPr>
      <w:r>
        <w:rPr>
          <w:b w:val="0"/>
          <w:bCs w:val="0"/>
          <w:sz w:val="20"/>
          <w:szCs w:val="20"/>
        </w:rPr>
        <w:t xml:space="preserve">In Figure 4, several types of CFVNs are displayed. The standard nozzle shapes are shown as red triangles with red inside. </w:t>
      </w:r>
      <w:r>
        <w:rPr>
          <w:b w:val="0"/>
          <w:bCs w:val="0"/>
          <w:sz w:val="20"/>
          <w:szCs w:val="20"/>
          <w:lang/>
        </w:rPr>
        <w:t xml:space="preserve">The data for this type of CFVNs were obtained by the CMS and are included with their kind permission. </w:t>
      </w:r>
      <w:r>
        <w:rPr>
          <w:b w:val="0"/>
          <w:bCs w:val="0"/>
          <w:sz w:val="20"/>
          <w:szCs w:val="20"/>
        </w:rPr>
        <w:t>They include throat diameters between 2.0 mm and 25.2 mm. Their begining of the transition is marked by a red line, the end by the blue line. They all have a radius of curvature in the intake of R</w:t>
      </w:r>
      <w:r>
        <w:rPr>
          <w:b w:val="0"/>
          <w:bCs w:val="0"/>
          <w:sz w:val="20"/>
          <w:szCs w:val="20"/>
          <w:vertAlign w:val="subscript"/>
        </w:rPr>
        <w:t>c</w:t>
      </w:r>
      <w:r>
        <w:rPr>
          <w:b w:val="0"/>
          <w:bCs w:val="0"/>
          <w:sz w:val="20"/>
          <w:szCs w:val="20"/>
        </w:rPr>
        <w:t xml:space="preserve"> = 2D, and an intake diameter of 2.5 D. A cylindrical nozzle according to the ISO 9300 standard is marked bright green. Finally, the special nozzles described above, with smooth intake of 3 D, and a radius of curvature R</w:t>
      </w:r>
      <w:r>
        <w:rPr>
          <w:b w:val="0"/>
          <w:bCs w:val="0"/>
          <w:sz w:val="20"/>
          <w:szCs w:val="20"/>
          <w:vertAlign w:val="subscript"/>
        </w:rPr>
        <w:t>c</w:t>
      </w:r>
      <w:r>
        <w:rPr>
          <w:b w:val="0"/>
          <w:bCs w:val="0"/>
          <w:sz w:val="20"/>
          <w:szCs w:val="20"/>
        </w:rPr>
        <w:t xml:space="preserve"> = 1D and 2D, and nominal throat diameter of 7 mm are marked as bright red and bright red with green edge.</w:t>
      </w:r>
    </w:p>
    <w:p>
      <w:pPr>
        <w:pStyle w:val="17"/>
        <w:ind w:left="0" w:leftChars="0" w:firstLine="0" w:firstLineChars="0"/>
        <w:rPr>
          <w:b w:val="0"/>
          <w:bCs w:val="0"/>
          <w:sz w:val="20"/>
          <w:szCs w:val="20"/>
        </w:rPr>
      </w:pPr>
    </w:p>
    <w:p>
      <w:pPr>
        <w:pStyle w:val="17"/>
        <w:ind w:left="0" w:leftChars="0" w:firstLine="0" w:firstLineChars="0"/>
        <w:rPr>
          <w:rFonts w:hint="default" w:cs="Times New Roman"/>
          <w:b w:val="0"/>
          <w:bCs w:val="0"/>
          <w:sz w:val="20"/>
          <w:szCs w:val="20"/>
        </w:rPr>
      </w:pPr>
      <w:r>
        <w:rPr>
          <w:b w:val="0"/>
          <w:bCs w:val="0"/>
          <w:sz w:val="20"/>
          <w:szCs w:val="20"/>
        </w:rPr>
        <w:t>The first conclusion is that the larger the diameter of the intake, the later will be the begining of the transion. However, one should bear in mind that the special nozzles are smooth, whereas the standard nozzles have an edge in the intake, as defined by the standard. This possibly creates a disturbance accelerating the transitional process. In the case of the small nozzles (D = 2 mm), the transition starts at approximately Re=5</w:t>
      </w:r>
      <w:r>
        <w:rPr>
          <w:rFonts w:hint="default" w:ascii="Times New Roman" w:hAnsi="Times New Roman" w:cs="Times New Roman"/>
          <w:b w:val="0"/>
          <w:bCs w:val="0"/>
          <w:sz w:val="20"/>
          <w:szCs w:val="20"/>
        </w:rPr>
        <w:t>·</w:t>
      </w:r>
      <w:r>
        <w:rPr>
          <w:rFonts w:hint="default" w:cs="Times New Roman"/>
          <w:b w:val="0"/>
          <w:bCs w:val="0"/>
          <w:sz w:val="20"/>
          <w:szCs w:val="20"/>
        </w:rPr>
        <w:t>10</w:t>
      </w:r>
      <w:r>
        <w:rPr>
          <w:rFonts w:hint="default" w:cs="Times New Roman"/>
          <w:b w:val="0"/>
          <w:bCs w:val="0"/>
          <w:sz w:val="20"/>
          <w:szCs w:val="20"/>
          <w:vertAlign w:val="superscript"/>
        </w:rPr>
        <w:t>5</w:t>
      </w:r>
      <w:r>
        <w:rPr>
          <w:rFonts w:hint="default" w:cs="Times New Roman"/>
          <w:b w:val="0"/>
          <w:bCs w:val="0"/>
          <w:sz w:val="20"/>
          <w:szCs w:val="20"/>
        </w:rPr>
        <w:t>; at larger diameters, the begining of the transition converges to Re=10</w:t>
      </w:r>
      <w:r>
        <w:rPr>
          <w:rFonts w:hint="default" w:cs="Times New Roman"/>
          <w:b w:val="0"/>
          <w:bCs w:val="0"/>
          <w:sz w:val="20"/>
          <w:szCs w:val="20"/>
          <w:vertAlign w:val="superscript"/>
        </w:rPr>
        <w:t>6</w:t>
      </w:r>
      <w:r>
        <w:rPr>
          <w:rFonts w:hint="default" w:cs="Times New Roman"/>
          <w:b w:val="0"/>
          <w:bCs w:val="0"/>
          <w:sz w:val="20"/>
          <w:szCs w:val="20"/>
        </w:rPr>
        <w:t>. The process of transition ends at Re=2</w:t>
      </w:r>
      <w:r>
        <w:rPr>
          <w:rFonts w:hint="default" w:ascii="Times New Roman" w:hAnsi="Times New Roman" w:cs="Times New Roman"/>
          <w:b w:val="0"/>
          <w:bCs w:val="0"/>
          <w:sz w:val="20"/>
          <w:szCs w:val="20"/>
        </w:rPr>
        <w:t>·</w:t>
      </w:r>
      <w:r>
        <w:rPr>
          <w:rFonts w:hint="default" w:cs="Times New Roman"/>
          <w:b w:val="0"/>
          <w:bCs w:val="0"/>
          <w:sz w:val="20"/>
          <w:szCs w:val="20"/>
        </w:rPr>
        <w:t>10</w:t>
      </w:r>
      <w:r>
        <w:rPr>
          <w:rFonts w:hint="default" w:cs="Times New Roman"/>
          <w:b w:val="0"/>
          <w:bCs w:val="0"/>
          <w:sz w:val="20"/>
          <w:szCs w:val="20"/>
          <w:vertAlign w:val="superscript"/>
        </w:rPr>
        <w:t>6</w:t>
      </w:r>
      <w:r>
        <w:rPr>
          <w:rFonts w:hint="default" w:cs="Times New Roman"/>
          <w:b w:val="0"/>
          <w:bCs w:val="0"/>
          <w:sz w:val="20"/>
          <w:szCs w:val="20"/>
        </w:rPr>
        <w:t>, when the flow in the throat is fully turbulent.</w:t>
      </w:r>
    </w:p>
    <w:p>
      <w:pPr>
        <w:pStyle w:val="17"/>
        <w:ind w:left="0" w:leftChars="0" w:firstLine="0" w:firstLineChars="0"/>
        <w:rPr>
          <w:rFonts w:hint="default" w:cs="Times New Roman"/>
          <w:b w:val="0"/>
          <w:bCs w:val="0"/>
          <w:sz w:val="20"/>
          <w:szCs w:val="20"/>
        </w:rPr>
      </w:pPr>
    </w:p>
    <w:p>
      <w:pPr>
        <w:pStyle w:val="17"/>
        <w:ind w:left="0" w:leftChars="0" w:firstLine="0" w:firstLineChars="0"/>
        <w:rPr>
          <w:rFonts w:hint="default" w:cs="Times New Roman"/>
          <w:b w:val="0"/>
          <w:bCs w:val="0"/>
          <w:sz w:val="20"/>
          <w:szCs w:val="20"/>
        </w:rPr>
      </w:pPr>
      <w:r>
        <w:rPr>
          <w:rFonts w:hint="default" w:cs="Times New Roman"/>
          <w:b w:val="0"/>
          <w:bCs w:val="0"/>
          <w:sz w:val="20"/>
          <w:szCs w:val="20"/>
        </w:rPr>
        <w:t>It seems that in the cylindrical nozzle the transition starts somewhat earlier and ends later, but there is more research necessary to support this conclusion. At any rate, the second author observed that the onset of transition in the cylidrical nozzles was much more consistent than in the toroidal nozzles.</w:t>
      </w:r>
    </w:p>
    <w:p>
      <w:pPr>
        <w:pStyle w:val="17"/>
        <w:ind w:left="0" w:leftChars="0" w:firstLine="0" w:firstLineChars="0"/>
        <w:rPr>
          <w:rFonts w:hint="default" w:cs="Times New Roman"/>
          <w:b w:val="0"/>
          <w:bCs w:val="0"/>
          <w:sz w:val="20"/>
          <w:szCs w:val="20"/>
        </w:rPr>
      </w:pPr>
    </w:p>
    <w:p>
      <w:pPr>
        <w:pStyle w:val="17"/>
        <w:ind w:left="0" w:leftChars="0" w:firstLine="0" w:firstLineChars="0"/>
        <w:rPr>
          <w:rFonts w:hint="default" w:cs="Times New Roman"/>
          <w:b w:val="0"/>
          <w:bCs w:val="0"/>
          <w:sz w:val="20"/>
          <w:szCs w:val="20"/>
        </w:rPr>
      </w:pPr>
      <w:r>
        <w:rPr>
          <w:rFonts w:hint="default" w:cs="Times New Roman"/>
          <w:b w:val="0"/>
          <w:bCs w:val="0"/>
          <w:sz w:val="20"/>
          <w:szCs w:val="20"/>
        </w:rPr>
        <w:t>The non-standard nozzles displayed much delayed transition at approximately Re=1.2</w:t>
      </w:r>
      <w:r>
        <w:rPr>
          <w:rFonts w:hint="default" w:ascii="Times New Roman" w:hAnsi="Times New Roman" w:cs="Times New Roman"/>
          <w:b w:val="0"/>
          <w:bCs w:val="0"/>
          <w:sz w:val="20"/>
          <w:szCs w:val="20"/>
        </w:rPr>
        <w:t>·</w:t>
      </w:r>
      <w:r>
        <w:rPr>
          <w:rFonts w:hint="default" w:cs="Times New Roman"/>
          <w:b w:val="0"/>
          <w:bCs w:val="0"/>
          <w:sz w:val="20"/>
          <w:szCs w:val="20"/>
        </w:rPr>
        <w:t>10</w:t>
      </w:r>
      <w:r>
        <w:rPr>
          <w:rFonts w:hint="default" w:cs="Times New Roman"/>
          <w:b w:val="0"/>
          <w:bCs w:val="0"/>
          <w:sz w:val="20"/>
          <w:szCs w:val="20"/>
          <w:vertAlign w:val="superscript"/>
        </w:rPr>
        <w:t>6</w:t>
      </w:r>
      <w:r>
        <w:rPr>
          <w:rFonts w:hint="default" w:cs="Times New Roman"/>
          <w:b w:val="0"/>
          <w:bCs w:val="0"/>
          <w:sz w:val="20"/>
          <w:szCs w:val="20"/>
        </w:rPr>
        <w:t xml:space="preserve"> for R</w:t>
      </w:r>
      <w:r>
        <w:rPr>
          <w:rFonts w:hint="default" w:cs="Times New Roman"/>
          <w:b w:val="0"/>
          <w:bCs w:val="0"/>
          <w:sz w:val="20"/>
          <w:szCs w:val="20"/>
          <w:vertAlign w:val="subscript"/>
        </w:rPr>
        <w:t>c</w:t>
      </w:r>
      <w:r>
        <w:rPr>
          <w:rFonts w:hint="default" w:cs="Times New Roman"/>
          <w:b w:val="0"/>
          <w:bCs w:val="0"/>
          <w:sz w:val="20"/>
          <w:szCs w:val="20"/>
        </w:rPr>
        <w:t>=2D and Re=1.4 for R</w:t>
      </w:r>
      <w:r>
        <w:rPr>
          <w:rFonts w:hint="default" w:cs="Times New Roman"/>
          <w:b w:val="0"/>
          <w:bCs w:val="0"/>
          <w:sz w:val="20"/>
          <w:szCs w:val="20"/>
          <w:vertAlign w:val="subscript"/>
        </w:rPr>
        <w:t>c</w:t>
      </w:r>
      <w:r>
        <w:rPr>
          <w:rFonts w:hint="default" w:cs="Times New Roman"/>
          <w:b w:val="0"/>
          <w:bCs w:val="0"/>
          <w:sz w:val="20"/>
          <w:szCs w:val="20"/>
        </w:rPr>
        <w:t>=1D and became fully turbulent in the throat at over Re=3.2</w:t>
      </w:r>
      <w:r>
        <w:rPr>
          <w:rFonts w:hint="default" w:ascii="Times New Roman" w:hAnsi="Times New Roman" w:cs="Times New Roman"/>
          <w:b w:val="0"/>
          <w:bCs w:val="0"/>
          <w:sz w:val="20"/>
          <w:szCs w:val="20"/>
        </w:rPr>
        <w:t>·</w:t>
      </w:r>
      <w:r>
        <w:rPr>
          <w:rFonts w:hint="default" w:cs="Times New Roman"/>
          <w:b w:val="0"/>
          <w:bCs w:val="0"/>
          <w:sz w:val="20"/>
          <w:szCs w:val="20"/>
        </w:rPr>
        <w:t>10</w:t>
      </w:r>
      <w:r>
        <w:rPr>
          <w:rFonts w:hint="default" w:cs="Times New Roman"/>
          <w:b w:val="0"/>
          <w:bCs w:val="0"/>
          <w:sz w:val="20"/>
          <w:szCs w:val="20"/>
          <w:vertAlign w:val="superscript"/>
        </w:rPr>
        <w:t>6</w:t>
      </w:r>
      <w:r>
        <w:rPr>
          <w:rFonts w:hint="default" w:cs="Times New Roman"/>
          <w:b w:val="0"/>
          <w:bCs w:val="0"/>
          <w:sz w:val="20"/>
          <w:szCs w:val="20"/>
        </w:rPr>
        <w:t>. The present non-standard nozzles (stepped nozzles) , although being well made, displayed small circular imperfections due to polishing. It is possible that the more accurately manufactured nozzles used in by Ishibashi and Funaki [1] started their transition at almost Re=2</w:t>
      </w:r>
      <w:r>
        <w:rPr>
          <w:rFonts w:hint="default" w:ascii="Times New Roman" w:hAnsi="Times New Roman" w:cs="Times New Roman"/>
          <w:b w:val="0"/>
          <w:bCs w:val="0"/>
          <w:sz w:val="20"/>
          <w:szCs w:val="20"/>
        </w:rPr>
        <w:t>·</w:t>
      </w:r>
      <w:r>
        <w:rPr>
          <w:rFonts w:hint="default" w:cs="Times New Roman"/>
          <w:b w:val="0"/>
          <w:bCs w:val="0"/>
          <w:sz w:val="20"/>
          <w:szCs w:val="20"/>
        </w:rPr>
        <w:t>10</w:t>
      </w:r>
      <w:r>
        <w:rPr>
          <w:rFonts w:hint="default" w:cs="Times New Roman"/>
          <w:b w:val="0"/>
          <w:bCs w:val="0"/>
          <w:sz w:val="20"/>
          <w:szCs w:val="20"/>
          <w:vertAlign w:val="superscript"/>
        </w:rPr>
        <w:t>6</w:t>
      </w:r>
      <w:r>
        <w:rPr>
          <w:rFonts w:hint="default" w:cs="Times New Roman"/>
          <w:b w:val="0"/>
          <w:bCs w:val="0"/>
          <w:sz w:val="20"/>
          <w:szCs w:val="20"/>
        </w:rPr>
        <w:t>, at the end of the range of Reynolds numbers achieved in their experimental work.</w:t>
      </w:r>
    </w:p>
    <w:p>
      <w:pPr>
        <w:pStyle w:val="17"/>
        <w:ind w:left="0" w:leftChars="0" w:firstLine="0" w:firstLineChars="0"/>
        <w:rPr>
          <w:rFonts w:hint="default" w:cs="Times New Roman"/>
          <w:b w:val="0"/>
          <w:bCs w:val="0"/>
          <w:sz w:val="20"/>
          <w:szCs w:val="20"/>
        </w:rPr>
      </w:pPr>
    </w:p>
    <w:p>
      <w:pPr>
        <w:pStyle w:val="17"/>
        <w:ind w:left="0" w:leftChars="0" w:firstLine="0" w:firstLineChars="0"/>
        <w:rPr>
          <w:rFonts w:hint="default" w:cs="Times New Roman"/>
          <w:b w:val="0"/>
          <w:bCs w:val="0"/>
          <w:sz w:val="20"/>
          <w:szCs w:val="20"/>
        </w:rPr>
      </w:pPr>
      <w:r>
        <w:rPr>
          <w:rFonts w:hint="default" w:cs="Times New Roman"/>
          <w:b w:val="0"/>
          <w:bCs w:val="0"/>
          <w:sz w:val="20"/>
          <w:szCs w:val="20"/>
        </w:rPr>
        <w:t>The result of the flow visualization in the two-piece nozzles was disappointing. Although the rating of the shear sensitive  liquid crystals was in the range of shear stresses expected in the present nozzles, the temperatures were not. The LCs require approximately room temperatures, but due to the Joul effect, the temperature in the throat was well below freezing. The LCs were simply washed away, leaving the background flat black paint. Still, the pattern in the black paint allowed conclusions about the flow direction in the intake of the nozzle. Surprisingly, there was a significant swirl in the intake, see Figure 5.</w:t>
      </w:r>
    </w:p>
    <w:p>
      <w:pPr>
        <w:pStyle w:val="17"/>
        <w:ind w:left="0" w:leftChars="0" w:firstLine="0" w:firstLineChars="0"/>
        <w:rPr>
          <w:rFonts w:hint="default" w:cs="Times New Roman"/>
          <w:b w:val="0"/>
          <w:bCs w:val="0"/>
          <w:sz w:val="20"/>
          <w:szCs w:val="20"/>
        </w:rPr>
      </w:pPr>
    </w:p>
    <w:p>
      <w:pPr>
        <w:pStyle w:val="17"/>
        <w:ind w:left="0" w:leftChars="0" w:firstLine="0" w:firstLineChars="0"/>
        <w:rPr>
          <w:rFonts w:hint="default" w:cs="Times New Roman"/>
          <w:b w:val="0"/>
          <w:bCs w:val="0"/>
          <w:sz w:val="20"/>
          <w:szCs w:val="20"/>
        </w:rPr>
      </w:pPr>
      <w:r>
        <w:rPr>
          <w:rFonts w:hint="default" w:ascii="Times New Roman" w:hAnsi="Times New Roman" w:eastAsia="Times New Roman" w:cs="Times New Roman"/>
          <w:b w:val="0"/>
          <w:bCs w:val="0"/>
          <w:color w:val="auto"/>
          <w:sz w:val="20"/>
          <w:szCs w:val="20"/>
          <w:lang w:val="en-US" w:eastAsia="zh-CN" w:bidi="ar-SA"/>
        </w:rPr>
        <w:pict>
          <v:shape id="Picture Frame 20" o:spid="_x0000_s1036" type="#_x0000_t75" style="height:170.05pt;width:226.75pt;rotation:0f;" o:ole="f" fillcolor="#FFFFFF" filled="f" o:preferrelative="t" stroked="f" coordorigin="0,0" coordsize="21600,21600">
            <v:fill on="f" color2="#FFFFFF" focus="0%"/>
            <v:imagedata gain="65536f" blacklevel="0f" gamma="0" o:title="P8261034" r:id="rId12"/>
            <o:lock v:ext="edit" position="f" selection="f" grouping="f" rotation="f" cropping="f" text="f" aspectratio="t"/>
            <w10:wrap type="none"/>
            <w10:anchorlock/>
          </v:shape>
        </w:pict>
      </w:r>
    </w:p>
    <w:p>
      <w:pPr>
        <w:pStyle w:val="17"/>
        <w:ind w:left="0" w:leftChars="0" w:firstLine="0" w:firstLineChars="0"/>
        <w:rPr>
          <w:rFonts w:hint="default" w:cs="Times New Roman"/>
          <w:b/>
          <w:bCs/>
          <w:sz w:val="16"/>
          <w:szCs w:val="16"/>
        </w:rPr>
      </w:pPr>
      <w:r>
        <w:rPr>
          <w:rFonts w:hint="default" w:cs="Times New Roman"/>
          <w:b/>
          <w:bCs/>
          <w:sz w:val="16"/>
          <w:szCs w:val="16"/>
        </w:rPr>
        <w:t>Figure 5:</w:t>
      </w:r>
      <w:r>
        <w:rPr>
          <w:rFonts w:hint="default" w:cs="Times New Roman"/>
          <w:b w:val="0"/>
          <w:bCs w:val="0"/>
          <w:sz w:val="16"/>
          <w:szCs w:val="16"/>
        </w:rPr>
        <w:t xml:space="preserve"> Flow pattern in the intake in flat black paint.</w:t>
      </w:r>
    </w:p>
    <w:p>
      <w:pPr>
        <w:pStyle w:val="17"/>
        <w:ind w:left="0" w:leftChars="0" w:firstLine="0" w:firstLineChars="0"/>
        <w:rPr>
          <w:rFonts w:hint="default" w:cs="Times New Roman"/>
          <w:b w:val="0"/>
          <w:bCs w:val="0"/>
          <w:sz w:val="20"/>
          <w:szCs w:val="20"/>
        </w:rPr>
      </w:pPr>
    </w:p>
    <w:p>
      <w:pPr>
        <w:pStyle w:val="17"/>
        <w:ind w:left="0" w:leftChars="0" w:firstLine="0" w:firstLineChars="0"/>
        <w:rPr>
          <w:rFonts w:hint="default" w:cs="Times New Roman"/>
          <w:b w:val="0"/>
          <w:bCs w:val="0"/>
          <w:sz w:val="20"/>
          <w:szCs w:val="20"/>
        </w:rPr>
      </w:pPr>
      <w:r>
        <w:rPr>
          <w:rFonts w:hint="default" w:cs="Times New Roman"/>
          <w:b w:val="0"/>
          <w:bCs w:val="0"/>
          <w:sz w:val="20"/>
          <w:szCs w:val="20"/>
        </w:rPr>
        <w:t>In the future, more experimental work using the LCs is planed implementing proper heating of the working fluid.</w:t>
      </w:r>
    </w:p>
    <w:p>
      <w:pPr>
        <w:pStyle w:val="17"/>
        <w:ind w:left="0" w:leftChars="0" w:firstLine="0" w:firstLineChars="0"/>
        <w:rPr>
          <w:rFonts w:hint="default" w:cs="Times New Roman"/>
          <w:b w:val="0"/>
          <w:bCs w:val="0"/>
          <w:sz w:val="20"/>
          <w:szCs w:val="20"/>
        </w:rPr>
      </w:pPr>
    </w:p>
    <w:p>
      <w:pPr>
        <w:pStyle w:val="17"/>
        <w:ind w:left="0" w:leftChars="0" w:firstLine="0" w:firstLineChars="0"/>
        <w:rPr>
          <w:rFonts w:hint="default" w:cs="Times New Roman"/>
          <w:b w:val="0"/>
          <w:bCs w:val="0"/>
          <w:sz w:val="20"/>
          <w:szCs w:val="20"/>
        </w:rPr>
      </w:pPr>
      <w:r>
        <w:rPr>
          <w:rFonts w:hint="default" w:cs="Times New Roman"/>
          <w:b w:val="0"/>
          <w:bCs w:val="0"/>
          <w:sz w:val="20"/>
          <w:szCs w:val="20"/>
        </w:rPr>
        <w:t>Subsequently, the two one-piece special nozzles were calibrated at the PTB, including very accurate measurement of their geometry. The designation LK2d7 means R</w:t>
      </w:r>
      <w:r>
        <w:rPr>
          <w:rFonts w:hint="default" w:cs="Times New Roman"/>
          <w:b w:val="0"/>
          <w:bCs w:val="0"/>
          <w:sz w:val="20"/>
          <w:szCs w:val="20"/>
          <w:vertAlign w:val="subscript"/>
        </w:rPr>
        <w:t>c</w:t>
      </w:r>
      <w:r>
        <w:rPr>
          <w:rFonts w:hint="default" w:cs="Times New Roman"/>
          <w:b w:val="0"/>
          <w:bCs w:val="0"/>
          <w:sz w:val="20"/>
          <w:szCs w:val="20"/>
        </w:rPr>
        <w:t>=2D, D=7 mm, with LK1d7 being formed accordingly. The resulting data can be summerized as follows:</w:t>
      </w:r>
    </w:p>
    <w:p>
      <w:pPr>
        <w:pStyle w:val="17"/>
        <w:ind w:left="0" w:leftChars="0" w:firstLine="0" w:firstLineChars="0"/>
        <w:rPr>
          <w:rFonts w:hint="default" w:cs="Times New Roman"/>
          <w:b w:val="0"/>
          <w:bCs w:val="0"/>
          <w:sz w:val="20"/>
          <w:szCs w:val="20"/>
        </w:rPr>
      </w:pPr>
      <w:r>
        <w:rPr>
          <w:rFonts w:hint="default" w:cs="Times New Roman"/>
          <w:b w:val="0"/>
          <w:bCs w:val="0"/>
          <w:sz w:val="20"/>
          <w:szCs w:val="20"/>
        </w:rPr>
        <w:t>LK2d7: R</w:t>
      </w:r>
      <w:r>
        <w:rPr>
          <w:rFonts w:hint="default" w:cs="Times New Roman"/>
          <w:b w:val="0"/>
          <w:bCs w:val="0"/>
          <w:sz w:val="20"/>
          <w:szCs w:val="20"/>
          <w:vertAlign w:val="subscript"/>
        </w:rPr>
        <w:t>c</w:t>
      </w:r>
      <w:r>
        <w:rPr>
          <w:rFonts w:hint="default" w:cs="Times New Roman"/>
          <w:b w:val="0"/>
          <w:bCs w:val="0"/>
          <w:sz w:val="20"/>
          <w:szCs w:val="20"/>
        </w:rPr>
        <w:t xml:space="preserve"> = 13.372 mm, </w:t>
      </w:r>
      <w:r>
        <w:rPr>
          <w:rFonts w:hint="default" w:ascii="Times New Roman" w:hAnsi="Times New Roman" w:cs="Times New Roman"/>
          <w:b w:val="0"/>
          <w:bCs w:val="0"/>
          <w:sz w:val="20"/>
          <w:szCs w:val="20"/>
        </w:rPr>
        <w:t>±</w:t>
      </w:r>
      <w:r>
        <w:rPr>
          <w:rFonts w:hint="default" w:cs="Times New Roman"/>
          <w:b w:val="0"/>
          <w:bCs w:val="0"/>
          <w:sz w:val="20"/>
          <w:szCs w:val="20"/>
        </w:rPr>
        <w:t xml:space="preserve"> 0.01 mm</w:t>
      </w:r>
    </w:p>
    <w:p>
      <w:pPr>
        <w:pStyle w:val="17"/>
        <w:ind w:left="0" w:leftChars="0" w:firstLine="0" w:firstLineChars="0"/>
        <w:rPr>
          <w:rFonts w:hint="default" w:cs="Times New Roman"/>
          <w:b w:val="0"/>
          <w:bCs w:val="0"/>
          <w:sz w:val="20"/>
          <w:szCs w:val="20"/>
        </w:rPr>
      </w:pPr>
      <w:r>
        <w:rPr>
          <w:rFonts w:hint="default" w:cs="Times New Roman"/>
          <w:b w:val="0"/>
          <w:bCs w:val="0"/>
          <w:sz w:val="20"/>
          <w:szCs w:val="20"/>
        </w:rPr>
        <w:t xml:space="preserve">              D = 7.0976 mm, </w:t>
      </w:r>
      <w:r>
        <w:rPr>
          <w:rFonts w:hint="default" w:ascii="Times New Roman" w:hAnsi="Times New Roman" w:cs="Times New Roman"/>
          <w:b w:val="0"/>
          <w:bCs w:val="0"/>
          <w:sz w:val="20"/>
          <w:szCs w:val="20"/>
        </w:rPr>
        <w:t>±</w:t>
      </w:r>
      <w:r>
        <w:rPr>
          <w:rFonts w:hint="default" w:cs="Times New Roman"/>
          <w:b w:val="0"/>
          <w:bCs w:val="0"/>
          <w:sz w:val="20"/>
          <w:szCs w:val="20"/>
        </w:rPr>
        <w:t xml:space="preserve"> 0.001 mm</w:t>
      </w:r>
    </w:p>
    <w:p>
      <w:pPr>
        <w:pStyle w:val="17"/>
        <w:ind w:left="0" w:leftChars="0" w:firstLine="0" w:firstLineChars="0"/>
        <w:rPr>
          <w:rFonts w:hint="default" w:cs="Times New Roman"/>
          <w:b w:val="0"/>
          <w:bCs w:val="0"/>
          <w:sz w:val="20"/>
          <w:szCs w:val="20"/>
        </w:rPr>
      </w:pPr>
      <w:r>
        <w:rPr>
          <w:rFonts w:hint="default" w:cs="Times New Roman"/>
          <w:b w:val="0"/>
          <w:bCs w:val="0"/>
          <w:sz w:val="20"/>
          <w:szCs w:val="20"/>
        </w:rPr>
        <w:t xml:space="preserve">              annularity 0.003 mm</w:t>
      </w:r>
    </w:p>
    <w:p>
      <w:pPr>
        <w:pStyle w:val="17"/>
        <w:ind w:left="0" w:leftChars="0" w:firstLine="0" w:firstLineChars="0"/>
        <w:rPr>
          <w:rFonts w:hint="default" w:cs="Times New Roman"/>
          <w:b w:val="0"/>
          <w:bCs w:val="0"/>
          <w:sz w:val="20"/>
          <w:szCs w:val="20"/>
        </w:rPr>
      </w:pPr>
      <w:r>
        <w:rPr>
          <w:rFonts w:hint="default" w:cs="Times New Roman"/>
          <w:b w:val="0"/>
          <w:bCs w:val="0"/>
          <w:sz w:val="20"/>
          <w:szCs w:val="20"/>
        </w:rPr>
        <w:t>LK1d7:  R</w:t>
      </w:r>
      <w:r>
        <w:rPr>
          <w:rFonts w:hint="default" w:cs="Times New Roman"/>
          <w:b w:val="0"/>
          <w:bCs w:val="0"/>
          <w:sz w:val="20"/>
          <w:szCs w:val="20"/>
          <w:vertAlign w:val="subscript"/>
        </w:rPr>
        <w:t>c</w:t>
      </w:r>
      <w:r>
        <w:rPr>
          <w:rFonts w:hint="default" w:cs="Times New Roman"/>
          <w:b w:val="0"/>
          <w:bCs w:val="0"/>
          <w:sz w:val="20"/>
          <w:szCs w:val="20"/>
        </w:rPr>
        <w:t xml:space="preserve"> = 6.310 mm, </w:t>
      </w:r>
      <w:r>
        <w:rPr>
          <w:rFonts w:hint="default" w:ascii="Times New Roman" w:hAnsi="Times New Roman" w:cs="Times New Roman"/>
          <w:b w:val="0"/>
          <w:bCs w:val="0"/>
          <w:sz w:val="20"/>
          <w:szCs w:val="20"/>
        </w:rPr>
        <w:t>±</w:t>
      </w:r>
      <w:r>
        <w:rPr>
          <w:rFonts w:hint="default" w:cs="Times New Roman"/>
          <w:b w:val="0"/>
          <w:bCs w:val="0"/>
          <w:sz w:val="20"/>
          <w:szCs w:val="20"/>
        </w:rPr>
        <w:t xml:space="preserve"> 0.01 mm</w:t>
      </w:r>
    </w:p>
    <w:p>
      <w:pPr>
        <w:pStyle w:val="17"/>
        <w:ind w:left="0" w:leftChars="0" w:firstLine="0" w:firstLineChars="0"/>
        <w:rPr>
          <w:rFonts w:hint="default" w:cs="Times New Roman"/>
          <w:b w:val="0"/>
          <w:bCs w:val="0"/>
          <w:sz w:val="20"/>
          <w:szCs w:val="20"/>
        </w:rPr>
      </w:pPr>
      <w:r>
        <w:rPr>
          <w:rFonts w:hint="default" w:cs="Times New Roman"/>
          <w:b w:val="0"/>
          <w:bCs w:val="0"/>
          <w:sz w:val="20"/>
          <w:szCs w:val="20"/>
        </w:rPr>
        <w:t xml:space="preserve">               D = 7.027 mm, </w:t>
      </w:r>
      <w:r>
        <w:rPr>
          <w:rFonts w:hint="default" w:ascii="Times New Roman" w:hAnsi="Times New Roman" w:cs="Times New Roman"/>
          <w:b w:val="0"/>
          <w:bCs w:val="0"/>
          <w:sz w:val="20"/>
          <w:szCs w:val="20"/>
        </w:rPr>
        <w:t>±</w:t>
      </w:r>
      <w:r>
        <w:rPr>
          <w:rFonts w:hint="default" w:cs="Times New Roman"/>
          <w:b w:val="0"/>
          <w:bCs w:val="0"/>
          <w:sz w:val="20"/>
          <w:szCs w:val="20"/>
        </w:rPr>
        <w:t xml:space="preserve"> 0.001 mm</w:t>
      </w:r>
    </w:p>
    <w:p>
      <w:pPr>
        <w:pStyle w:val="17"/>
        <w:ind w:left="0" w:leftChars="0" w:firstLine="0" w:firstLineChars="0"/>
        <w:rPr>
          <w:rFonts w:hint="default" w:cs="Times New Roman"/>
          <w:b w:val="0"/>
          <w:bCs w:val="0"/>
          <w:sz w:val="20"/>
          <w:szCs w:val="20"/>
        </w:rPr>
      </w:pPr>
      <w:r>
        <w:rPr>
          <w:rFonts w:hint="default" w:cs="Times New Roman"/>
          <w:b w:val="0"/>
          <w:bCs w:val="0"/>
          <w:sz w:val="20"/>
          <w:szCs w:val="20"/>
        </w:rPr>
        <w:t xml:space="preserve">               annularity  0.003 mm</w:t>
      </w:r>
    </w:p>
    <w:tbl>
      <w:tblPr>
        <w:tblpPr w:leftFromText="180" w:rightFromText="180" w:vertAnchor="text" w:horzAnchor="page" w:tblpX="1423" w:tblpY="191"/>
        <w:tblOverlap w:val="never"/>
        <w:tblW w:w="42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260"/>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vAlign w:val="top"/>
          </w:tcPr>
          <w:p>
            <w:pPr>
              <w:spacing w:after="0" w:line="240" w:lineRule="auto"/>
              <w:rPr>
                <w:sz w:val="20"/>
                <w:szCs w:val="20"/>
              </w:rPr>
            </w:pPr>
            <w:r>
              <w:rPr>
                <w:sz w:val="20"/>
                <w:szCs w:val="20"/>
              </w:rPr>
              <w:t>Designation</w:t>
            </w:r>
          </w:p>
        </w:tc>
        <w:tc>
          <w:tcPr>
            <w:tcW w:w="1260" w:type="dxa"/>
            <w:vAlign w:val="top"/>
          </w:tcPr>
          <w:p>
            <w:pPr>
              <w:spacing w:after="0" w:line="240" w:lineRule="auto"/>
              <w:rPr>
                <w:sz w:val="20"/>
                <w:szCs w:val="20"/>
              </w:rPr>
            </w:pPr>
            <w:r>
              <w:rPr>
                <w:sz w:val="20"/>
                <w:szCs w:val="20"/>
              </w:rPr>
              <w:t>LK2d7</w:t>
            </w:r>
          </w:p>
        </w:tc>
        <w:tc>
          <w:tcPr>
            <w:tcW w:w="1404" w:type="dxa"/>
            <w:vAlign w:val="top"/>
          </w:tcPr>
          <w:p>
            <w:pPr>
              <w:spacing w:after="0" w:line="240" w:lineRule="auto"/>
              <w:rPr>
                <w:sz w:val="20"/>
                <w:szCs w:val="20"/>
              </w:rPr>
            </w:pPr>
            <w:r>
              <w:rPr>
                <w:sz w:val="20"/>
                <w:szCs w:val="20"/>
              </w:rPr>
              <w:t>LK1d7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vAlign w:val="top"/>
          </w:tcPr>
          <w:p>
            <w:pPr>
              <w:spacing w:after="0" w:line="240" w:lineRule="auto"/>
              <w:rPr>
                <w:sz w:val="20"/>
                <w:szCs w:val="20"/>
              </w:rPr>
            </w:pPr>
            <w:r>
              <w:rPr>
                <w:sz w:val="20"/>
                <w:szCs w:val="20"/>
              </w:rPr>
              <w:t>Theoret. R</w:t>
            </w:r>
            <w:r>
              <w:rPr>
                <w:sz w:val="20"/>
                <w:szCs w:val="20"/>
                <w:vertAlign w:val="subscript"/>
              </w:rPr>
              <w:t>curv</w:t>
            </w:r>
          </w:p>
        </w:tc>
        <w:tc>
          <w:tcPr>
            <w:tcW w:w="1260" w:type="dxa"/>
            <w:vAlign w:val="top"/>
          </w:tcPr>
          <w:p>
            <w:pPr>
              <w:spacing w:after="0" w:line="240" w:lineRule="auto"/>
              <w:rPr>
                <w:sz w:val="20"/>
                <w:szCs w:val="20"/>
              </w:rPr>
            </w:pPr>
            <w:r>
              <w:rPr>
                <w:sz w:val="20"/>
                <w:szCs w:val="20"/>
              </w:rPr>
              <w:t>R</w:t>
            </w:r>
            <w:r>
              <w:rPr>
                <w:sz w:val="20"/>
                <w:szCs w:val="20"/>
                <w:vertAlign w:val="subscript"/>
              </w:rPr>
              <w:t>curv</w:t>
            </w:r>
            <w:r>
              <w:rPr>
                <w:sz w:val="20"/>
                <w:szCs w:val="20"/>
              </w:rPr>
              <w:t xml:space="preserve"> = 2D</w:t>
            </w:r>
          </w:p>
        </w:tc>
        <w:tc>
          <w:tcPr>
            <w:tcW w:w="1404" w:type="dxa"/>
            <w:vAlign w:val="top"/>
          </w:tcPr>
          <w:p>
            <w:pPr>
              <w:spacing w:after="0" w:line="240" w:lineRule="auto"/>
              <w:rPr>
                <w:sz w:val="20"/>
                <w:szCs w:val="20"/>
              </w:rPr>
            </w:pPr>
            <w:r>
              <w:rPr>
                <w:sz w:val="20"/>
                <w:szCs w:val="20"/>
              </w:rPr>
              <w:t>R</w:t>
            </w:r>
            <w:r>
              <w:rPr>
                <w:sz w:val="20"/>
                <w:szCs w:val="20"/>
                <w:vertAlign w:val="subscript"/>
              </w:rPr>
              <w:t>curv</w:t>
            </w:r>
            <w:r>
              <w:rPr>
                <w:sz w:val="20"/>
                <w:szCs w:val="20"/>
              </w:rPr>
              <w:t xml:space="preserve"> = 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vAlign w:val="top"/>
          </w:tcPr>
          <w:p>
            <w:pPr>
              <w:spacing w:after="0" w:line="240" w:lineRule="auto"/>
              <w:rPr>
                <w:sz w:val="20"/>
                <w:szCs w:val="20"/>
              </w:rPr>
            </w:pPr>
            <w:r>
              <w:rPr>
                <w:i/>
                <w:iCs/>
                <w:sz w:val="20"/>
                <w:szCs w:val="20"/>
              </w:rPr>
              <w:t>a</w:t>
            </w:r>
          </w:p>
        </w:tc>
        <w:tc>
          <w:tcPr>
            <w:tcW w:w="1260" w:type="dxa"/>
            <w:vAlign w:val="top"/>
          </w:tcPr>
          <w:p>
            <w:pPr>
              <w:spacing w:after="0" w:line="240" w:lineRule="auto"/>
              <w:rPr>
                <w:sz w:val="20"/>
                <w:szCs w:val="20"/>
              </w:rPr>
            </w:pPr>
            <w:r>
              <w:rPr>
                <w:sz w:val="20"/>
                <w:szCs w:val="20"/>
              </w:rPr>
              <w:t>0.99799</w:t>
            </w:r>
          </w:p>
        </w:tc>
        <w:tc>
          <w:tcPr>
            <w:tcW w:w="1404" w:type="dxa"/>
            <w:vAlign w:val="top"/>
          </w:tcPr>
          <w:p>
            <w:pPr>
              <w:spacing w:after="0" w:line="240" w:lineRule="auto"/>
              <w:rPr>
                <w:sz w:val="20"/>
                <w:szCs w:val="20"/>
              </w:rPr>
            </w:pPr>
            <w:r>
              <w:rPr>
                <w:sz w:val="20"/>
                <w:szCs w:val="20"/>
              </w:rPr>
              <w:t>0.99357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600" w:type="dxa"/>
            <w:vAlign w:val="top"/>
          </w:tcPr>
          <w:p>
            <w:pPr>
              <w:spacing w:after="0" w:line="240" w:lineRule="auto"/>
              <w:rPr>
                <w:sz w:val="20"/>
                <w:szCs w:val="20"/>
              </w:rPr>
            </w:pPr>
            <w:r>
              <w:rPr>
                <w:i/>
                <w:iCs/>
                <w:sz w:val="20"/>
                <w:szCs w:val="20"/>
              </w:rPr>
              <w:t>b</w:t>
            </w:r>
            <w:r>
              <w:rPr>
                <w:sz w:val="20"/>
                <w:szCs w:val="20"/>
                <w:vertAlign w:val="subscript"/>
              </w:rPr>
              <w:t>lam</w:t>
            </w:r>
          </w:p>
        </w:tc>
        <w:tc>
          <w:tcPr>
            <w:tcW w:w="1260" w:type="dxa"/>
            <w:vAlign w:val="top"/>
          </w:tcPr>
          <w:p>
            <w:pPr>
              <w:spacing w:after="0" w:line="240" w:lineRule="auto"/>
              <w:rPr>
                <w:sz w:val="20"/>
                <w:szCs w:val="20"/>
              </w:rPr>
            </w:pPr>
            <w:r>
              <w:rPr>
                <w:sz w:val="20"/>
                <w:szCs w:val="20"/>
              </w:rPr>
              <w:t>3.1496</w:t>
            </w:r>
          </w:p>
        </w:tc>
        <w:tc>
          <w:tcPr>
            <w:tcW w:w="1404" w:type="dxa"/>
            <w:vAlign w:val="top"/>
          </w:tcPr>
          <w:p>
            <w:pPr>
              <w:spacing w:after="0" w:line="240" w:lineRule="auto"/>
              <w:rPr>
                <w:sz w:val="20"/>
                <w:szCs w:val="20"/>
              </w:rPr>
            </w:pPr>
            <w:r>
              <w:rPr>
                <w:sz w:val="20"/>
                <w:szCs w:val="20"/>
              </w:rPr>
              <w:t>2.9341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vAlign w:val="top"/>
          </w:tcPr>
          <w:p>
            <w:pPr>
              <w:spacing w:after="0" w:line="240" w:lineRule="auto"/>
              <w:rPr>
                <w:sz w:val="20"/>
                <w:szCs w:val="20"/>
              </w:rPr>
            </w:pPr>
            <w:r>
              <w:rPr>
                <w:i/>
                <w:iCs/>
                <w:sz w:val="20"/>
                <w:szCs w:val="20"/>
              </w:rPr>
              <w:t>b</w:t>
            </w:r>
            <w:r>
              <w:rPr>
                <w:sz w:val="20"/>
                <w:szCs w:val="20"/>
                <w:vertAlign w:val="subscript"/>
              </w:rPr>
              <w:t>turb</w:t>
            </w:r>
          </w:p>
        </w:tc>
        <w:tc>
          <w:tcPr>
            <w:tcW w:w="1260" w:type="dxa"/>
            <w:vAlign w:val="top"/>
          </w:tcPr>
          <w:p>
            <w:pPr>
              <w:spacing w:after="0" w:line="240" w:lineRule="auto"/>
              <w:rPr>
                <w:sz w:val="20"/>
                <w:szCs w:val="20"/>
              </w:rPr>
            </w:pPr>
            <w:r>
              <w:rPr>
                <w:sz w:val="20"/>
                <w:szCs w:val="20"/>
              </w:rPr>
              <w:t>0.026776</w:t>
            </w:r>
          </w:p>
        </w:tc>
        <w:tc>
          <w:tcPr>
            <w:tcW w:w="1404" w:type="dxa"/>
            <w:vAlign w:val="top"/>
          </w:tcPr>
          <w:p>
            <w:pPr>
              <w:spacing w:after="0" w:line="240" w:lineRule="auto"/>
              <w:rPr>
                <w:sz w:val="20"/>
                <w:szCs w:val="20"/>
              </w:rPr>
            </w:pPr>
            <w:r>
              <w:rPr>
                <w:sz w:val="20"/>
                <w:szCs w:val="20"/>
              </w:rPr>
              <w:t>0.023675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vAlign w:val="top"/>
          </w:tcPr>
          <w:p>
            <w:pPr>
              <w:spacing w:after="0" w:line="240" w:lineRule="auto"/>
              <w:rPr>
                <w:sz w:val="20"/>
                <w:szCs w:val="20"/>
              </w:rPr>
            </w:pPr>
            <w:r>
              <w:rPr>
                <w:i/>
                <w:iCs/>
                <w:sz w:val="20"/>
                <w:szCs w:val="20"/>
              </w:rPr>
              <w:t>k</w:t>
            </w:r>
            <w:r>
              <w:rPr>
                <w:sz w:val="20"/>
                <w:szCs w:val="20"/>
                <w:vertAlign w:val="subscript"/>
              </w:rPr>
              <w:t>u</w:t>
            </w:r>
          </w:p>
        </w:tc>
        <w:tc>
          <w:tcPr>
            <w:tcW w:w="1260" w:type="dxa"/>
            <w:vAlign w:val="top"/>
          </w:tcPr>
          <w:p>
            <w:pPr>
              <w:spacing w:after="0" w:line="240" w:lineRule="auto"/>
              <w:rPr>
                <w:sz w:val="20"/>
                <w:szCs w:val="20"/>
              </w:rPr>
            </w:pPr>
            <w:r>
              <w:rPr>
                <w:sz w:val="20"/>
                <w:szCs w:val="20"/>
              </w:rPr>
              <w:t>5</w:t>
            </w:r>
          </w:p>
        </w:tc>
        <w:tc>
          <w:tcPr>
            <w:tcW w:w="1404" w:type="dxa"/>
            <w:vAlign w:val="top"/>
          </w:tcPr>
          <w:p>
            <w:pPr>
              <w:spacing w:after="0" w:line="240" w:lineRule="auto"/>
              <w:rPr>
                <w:sz w:val="20"/>
                <w:szCs w:val="20"/>
              </w:rPr>
            </w:pPr>
            <w:r>
              <w:rPr>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vAlign w:val="top"/>
          </w:tcPr>
          <w:p>
            <w:pPr>
              <w:spacing w:after="0" w:line="240" w:lineRule="auto"/>
              <w:rPr>
                <w:i/>
                <w:iCs/>
                <w:sz w:val="20"/>
                <w:szCs w:val="20"/>
              </w:rPr>
            </w:pPr>
            <w:r>
              <w:rPr>
                <w:i/>
                <w:iCs/>
                <w:sz w:val="20"/>
                <w:szCs w:val="20"/>
              </w:rPr>
              <w:t>Re</w:t>
            </w:r>
            <w:r>
              <w:rPr>
                <w:sz w:val="20"/>
                <w:szCs w:val="20"/>
                <w:vertAlign w:val="subscript"/>
              </w:rPr>
              <w:t>tr</w:t>
            </w:r>
          </w:p>
        </w:tc>
        <w:tc>
          <w:tcPr>
            <w:tcW w:w="1260" w:type="dxa"/>
            <w:vAlign w:val="top"/>
          </w:tcPr>
          <w:p>
            <w:pPr>
              <w:spacing w:after="0" w:line="240" w:lineRule="auto"/>
              <w:rPr>
                <w:sz w:val="20"/>
                <w:szCs w:val="20"/>
              </w:rPr>
            </w:pPr>
            <w:r>
              <w:rPr>
                <w:sz w:val="20"/>
                <w:szCs w:val="20"/>
              </w:rPr>
              <w:t>1.2e6</w:t>
            </w:r>
          </w:p>
        </w:tc>
        <w:tc>
          <w:tcPr>
            <w:tcW w:w="1404" w:type="dxa"/>
            <w:vAlign w:val="top"/>
          </w:tcPr>
          <w:p>
            <w:pPr>
              <w:spacing w:after="0" w:line="240" w:lineRule="auto"/>
              <w:rPr>
                <w:sz w:val="20"/>
                <w:szCs w:val="20"/>
              </w:rPr>
            </w:pPr>
            <w:r>
              <w:rPr>
                <w:sz w:val="20"/>
                <w:szCs w:val="20"/>
              </w:rPr>
              <w:t>1.2e6</w:t>
            </w:r>
          </w:p>
        </w:tc>
      </w:tr>
    </w:tbl>
    <w:p>
      <w:pPr>
        <w:pStyle w:val="17"/>
        <w:ind w:left="0" w:leftChars="0" w:firstLine="0" w:firstLineChars="0"/>
        <w:rPr>
          <w:rFonts w:hint="default" w:cs="Times New Roman"/>
          <w:b/>
          <w:bCs/>
          <w:sz w:val="16"/>
          <w:szCs w:val="16"/>
        </w:rPr>
      </w:pPr>
    </w:p>
    <w:p>
      <w:pPr>
        <w:pStyle w:val="17"/>
        <w:ind w:left="0" w:leftChars="0" w:firstLine="0" w:firstLineChars="0"/>
        <w:rPr>
          <w:rFonts w:hint="default" w:cs="Times New Roman"/>
          <w:b/>
          <w:bCs/>
          <w:sz w:val="16"/>
          <w:szCs w:val="16"/>
        </w:rPr>
      </w:pPr>
      <w:r>
        <w:rPr>
          <w:rFonts w:hint="default" w:cs="Times New Roman"/>
          <w:b/>
          <w:bCs/>
          <w:sz w:val="16"/>
          <w:szCs w:val="16"/>
        </w:rPr>
        <w:t>Table 1:</w:t>
      </w:r>
      <w:r>
        <w:rPr>
          <w:rFonts w:hint="default" w:cs="Times New Roman"/>
          <w:b w:val="0"/>
          <w:bCs w:val="0"/>
          <w:sz w:val="16"/>
          <w:szCs w:val="16"/>
        </w:rPr>
        <w:t xml:space="preserve"> Data for the theoretical deterrmination of C</w:t>
      </w:r>
      <w:r>
        <w:rPr>
          <w:rFonts w:hint="default" w:cs="Times New Roman"/>
          <w:b w:val="0"/>
          <w:bCs w:val="0"/>
          <w:sz w:val="16"/>
          <w:szCs w:val="16"/>
          <w:vertAlign w:val="subscript"/>
        </w:rPr>
        <w:t>D</w:t>
      </w:r>
      <w:r>
        <w:rPr>
          <w:rFonts w:hint="default" w:cs="Times New Roman"/>
          <w:b w:val="0"/>
          <w:bCs w:val="0"/>
          <w:sz w:val="16"/>
          <w:szCs w:val="16"/>
        </w:rPr>
        <w:t xml:space="preserve"> coefficient as a function of the Reynolds number in  the special nozzles.</w:t>
      </w:r>
    </w:p>
    <w:p>
      <w:pPr>
        <w:pStyle w:val="17"/>
        <w:ind w:left="0" w:leftChars="0" w:firstLine="0" w:firstLineChars="0"/>
        <w:rPr>
          <w:b w:val="0"/>
          <w:bCs w:val="0"/>
          <w:sz w:val="20"/>
          <w:szCs w:val="20"/>
        </w:rPr>
      </w:pPr>
    </w:p>
    <w:p>
      <w:pPr>
        <w:pStyle w:val="17"/>
        <w:ind w:left="0" w:leftChars="0" w:firstLine="0" w:firstLineChars="0"/>
        <w:rPr>
          <w:rFonts w:hint="default" w:cs="Times New Roman"/>
        </w:rPr>
      </w:pPr>
      <w:r>
        <w:t>The Reynolds number range as achieved at pigsar was between Re = 0.92</w:t>
      </w:r>
      <w:r>
        <w:rPr>
          <w:rFonts w:hint="default" w:ascii="Times New Roman" w:hAnsi="Times New Roman" w:cs="Times New Roman"/>
        </w:rPr>
        <w:t>·</w:t>
      </w:r>
      <w:r>
        <w:rPr>
          <w:rFonts w:hint="default" w:cs="Times New Roman"/>
        </w:rPr>
        <w:t>10</w:t>
      </w:r>
      <w:r>
        <w:rPr>
          <w:rFonts w:hint="default" w:cs="Times New Roman"/>
          <w:vertAlign w:val="superscript"/>
        </w:rPr>
        <w:t>6</w:t>
      </w:r>
      <w:r>
        <w:rPr>
          <w:rFonts w:hint="default" w:cs="Times New Roman"/>
        </w:rPr>
        <w:t xml:space="preserve"> and Re = 5.5</w:t>
      </w:r>
      <w:r>
        <w:rPr>
          <w:rFonts w:hint="default" w:ascii="Times New Roman" w:hAnsi="Times New Roman" w:cs="Times New Roman"/>
        </w:rPr>
        <w:t>·</w:t>
      </w:r>
      <w:r>
        <w:rPr>
          <w:rFonts w:hint="default" w:cs="Times New Roman"/>
        </w:rPr>
        <w:t>10</w:t>
      </w:r>
      <w:r>
        <w:rPr>
          <w:rFonts w:hint="default" w:cs="Times New Roman"/>
          <w:vertAlign w:val="superscript"/>
        </w:rPr>
        <w:t>6</w:t>
      </w:r>
      <w:r>
        <w:rPr>
          <w:rFonts w:hint="default" w:cs="Times New Roman"/>
        </w:rPr>
        <w:t xml:space="preserve">. The nozzles were also calibrated at the PTB facility using </w:t>
      </w:r>
      <w:r>
        <w:rPr>
          <w:rFonts w:hint="default" w:cs="Times New Roman"/>
          <w:lang/>
        </w:rPr>
        <w:t>atmospheric</w:t>
      </w:r>
      <w:r>
        <w:rPr>
          <w:rFonts w:hint="default" w:cs="Times New Roman"/>
        </w:rPr>
        <w:t xml:space="preserve"> air at Re = 90</w:t>
      </w:r>
      <w:r>
        <w:rPr>
          <w:rFonts w:hint="default" w:ascii="Times New Roman" w:hAnsi="Times New Roman" w:cs="Times New Roman"/>
        </w:rPr>
        <w:t>·</w:t>
      </w:r>
      <w:r>
        <w:rPr>
          <w:rFonts w:hint="default" w:cs="Times New Roman"/>
        </w:rPr>
        <w:t>10</w:t>
      </w:r>
      <w:r>
        <w:rPr>
          <w:rFonts w:hint="default" w:cs="Times New Roman"/>
          <w:vertAlign w:val="superscript"/>
        </w:rPr>
        <w:t>3</w:t>
      </w:r>
      <w:r>
        <w:rPr>
          <w:rFonts w:hint="default" w:cs="Times New Roman"/>
        </w:rPr>
        <w:t>. The resulting summary showing C</w:t>
      </w:r>
      <w:r>
        <w:rPr>
          <w:rFonts w:hint="default" w:cs="Times New Roman"/>
          <w:vertAlign w:val="subscript"/>
        </w:rPr>
        <w:t>D</w:t>
      </w:r>
      <w:r>
        <w:rPr>
          <w:rFonts w:hint="default" w:cs="Times New Roman"/>
        </w:rPr>
        <w:t xml:space="preserve"> = f(Re) is shown in Figure 6.</w:t>
      </w:r>
    </w:p>
    <w:p>
      <w:pPr>
        <w:pStyle w:val="17"/>
        <w:ind w:left="0" w:leftChars="0" w:firstLine="0" w:firstLineChars="0"/>
        <w:rPr>
          <w:rFonts w:ascii="Calibri" w:hAnsi="Calibri" w:eastAsia="Calibri"/>
          <w:sz w:val="22"/>
          <w:szCs w:val="22"/>
          <w:lang w:val="en-US" w:eastAsia="en-US"/>
        </w:rPr>
      </w:pPr>
      <w:r>
        <w:rPr>
          <w:rFonts w:ascii="Calibri" w:hAnsi="Calibri" w:eastAsia="Calibri" w:cs="Times New Roman"/>
          <w:color w:val="auto"/>
          <w:sz w:val="22"/>
          <w:szCs w:val="22"/>
          <w:lang w:val="en-US" w:eastAsia="en-US" w:bidi="ar-SA"/>
        </w:rPr>
        <w:pict>
          <v:shape id="Picture Frame 1025" o:spid="_x0000_s1037" type="#_x0000_t75" style="height:159pt;width:222pt;rotation:0f;" o:ole="f" fillcolor="#FFFFFF" filled="f" o:preferrelative="t" stroked="f" coordorigin="0,0" coordsize="21600,21600">
            <v:fill on="f" color2="#FFFFFF" focus="0%"/>
            <v:imagedata cropleft="3356f" croptop="3483f" cropright="2256f" cropbottom="4011f" gain="65536f" blacklevel="0f" gamma="0" o:title="" r:id="rId13"/>
            <o:lock v:ext="edit" position="f" selection="f" grouping="f" rotation="f" cropping="f" text="f" aspectratio="t"/>
            <w10:wrap type="none"/>
            <w10:anchorlock/>
          </v:shape>
        </w:pict>
      </w:r>
    </w:p>
    <w:p>
      <w:pPr>
        <w:pStyle w:val="17"/>
        <w:ind w:left="0" w:leftChars="0" w:firstLine="0" w:firstLineChars="0"/>
        <w:rPr>
          <w:rFonts w:hint="default" w:ascii="Times New Roman" w:hAnsi="Times New Roman" w:eastAsia="Calibri" w:cs="Times New Roman"/>
          <w:b/>
          <w:bCs/>
          <w:sz w:val="16"/>
          <w:szCs w:val="16"/>
          <w:lang w:eastAsia="en-US"/>
        </w:rPr>
      </w:pPr>
      <w:r>
        <w:rPr>
          <w:rFonts w:hint="default" w:eastAsia="Calibri" w:cs="Times New Roman"/>
          <w:b/>
          <w:bCs/>
          <w:sz w:val="16"/>
          <w:szCs w:val="16"/>
          <w:lang w:eastAsia="en-US"/>
        </w:rPr>
        <w:t xml:space="preserve">Figure 6: </w:t>
      </w:r>
      <w:r>
        <w:rPr>
          <w:rFonts w:hint="default" w:eastAsia="Calibri" w:cs="Times New Roman"/>
          <w:b w:val="0"/>
          <w:bCs w:val="0"/>
          <w:sz w:val="16"/>
          <w:szCs w:val="16"/>
          <w:lang w:eastAsia="en-US"/>
        </w:rPr>
        <w:t>Discharge coefficient C</w:t>
      </w:r>
      <w:r>
        <w:rPr>
          <w:rFonts w:hint="default" w:eastAsia="Calibri" w:cs="Times New Roman"/>
          <w:b w:val="0"/>
          <w:bCs w:val="0"/>
          <w:sz w:val="16"/>
          <w:szCs w:val="16"/>
          <w:vertAlign w:val="subscript"/>
          <w:lang w:eastAsia="en-US"/>
        </w:rPr>
        <w:t>D</w:t>
      </w:r>
      <w:r>
        <w:rPr>
          <w:rFonts w:hint="default" w:eastAsia="Calibri" w:cs="Times New Roman"/>
          <w:b w:val="0"/>
          <w:bCs w:val="0"/>
          <w:sz w:val="16"/>
          <w:szCs w:val="16"/>
          <w:lang w:eastAsia="en-US"/>
        </w:rPr>
        <w:t xml:space="preserve"> as a function of Reynolds number</w:t>
      </w:r>
    </w:p>
    <w:p>
      <w:pPr>
        <w:pStyle w:val="17"/>
        <w:ind w:left="0" w:leftChars="0" w:firstLine="0" w:firstLineChars="0"/>
        <w:rPr>
          <w:rFonts w:hint="default" w:cs="Times New Roman"/>
        </w:rPr>
      </w:pPr>
    </w:p>
    <w:p>
      <w:pPr>
        <w:pStyle w:val="17"/>
        <w:ind w:left="0" w:leftChars="0" w:firstLine="0" w:firstLineChars="0"/>
        <w:rPr>
          <w:rFonts w:hint="default"/>
        </w:rPr>
      </w:pPr>
      <w:r>
        <w:t>The LK1d7 nozzle displays significantly lower C</w:t>
      </w:r>
      <w:r>
        <w:rPr>
          <w:vertAlign w:val="subscript"/>
        </w:rPr>
        <w:t>D</w:t>
      </w:r>
      <w:r>
        <w:t xml:space="preserve"> coefficient than the LK2d7 nozzle, and the transitional region is flat</w:t>
      </w:r>
      <w:r>
        <w:rPr>
          <w:lang/>
        </w:rPr>
        <w:t>t</w:t>
      </w:r>
      <w:r>
        <w:t>er, with hardly any decrease of the C</w:t>
      </w:r>
      <w:r>
        <w:rPr>
          <w:vertAlign w:val="subscript"/>
        </w:rPr>
        <w:t>D</w:t>
      </w:r>
      <w:r>
        <w:t xml:space="preserve"> in this range. The LK2d7 has a much large discharge coefficient and more pronounced </w:t>
      </w:r>
      <w:r>
        <w:rPr>
          <w:rFonts w:hint="default"/>
        </w:rPr>
        <w:t>“dip” in its value in the transitional region.</w:t>
      </w:r>
    </w:p>
    <w:p>
      <w:pPr>
        <w:pStyle w:val="17"/>
        <w:ind w:left="0" w:leftChars="0" w:firstLine="0" w:firstLineChars="0"/>
        <w:rPr>
          <w:rFonts w:hint="default"/>
        </w:rPr>
      </w:pPr>
    </w:p>
    <w:p>
      <w:pPr>
        <w:pStyle w:val="17"/>
        <w:ind w:left="0" w:leftChars="0" w:firstLine="0" w:firstLineChars="0"/>
        <w:jc w:val="both"/>
        <w:rPr>
          <w:rFonts w:hint="default"/>
        </w:rPr>
      </w:pPr>
      <w:r>
        <w:rPr>
          <w:rFonts w:hint="default"/>
        </w:rPr>
        <w:t xml:space="preserve">The smooth curve connecting the laminar region with the fully turbulent region has been </w:t>
      </w:r>
      <w:r>
        <w:rPr>
          <w:rFonts w:hint="default"/>
          <w:lang/>
        </w:rPr>
        <w:t xml:space="preserve">introduced </w:t>
      </w:r>
      <w:r>
        <w:rPr>
          <w:rFonts w:hint="default"/>
        </w:rPr>
        <w:t>by Mickan et al [2]. The fitting curve has the mathematical form of a blending f</w:t>
      </w:r>
      <w:r>
        <w:rPr>
          <w:rFonts w:hint="default"/>
          <w:lang/>
        </w:rPr>
        <w:t>u</w:t>
      </w:r>
      <w:r>
        <w:rPr>
          <w:rFonts w:hint="default"/>
        </w:rPr>
        <w:t>nction:</w:t>
      </w:r>
    </w:p>
    <w:p>
      <w:pPr>
        <w:pStyle w:val="17"/>
        <w:ind w:left="0" w:leftChars="0" w:firstLine="0" w:firstLineChars="0"/>
        <w:jc w:val="both"/>
        <w:rPr>
          <w:rFonts w:hint="default"/>
        </w:rPr>
      </w:pPr>
    </w:p>
    <w:p>
      <w:pPr>
        <w:pStyle w:val="17"/>
        <w:ind w:left="0" w:leftChars="0" w:firstLine="0" w:firstLineChars="0"/>
        <w:jc w:val="both"/>
        <w:rPr>
          <w:rFonts w:hint="default" w:ascii="Times New Roman" w:hAnsi="Times New Roman" w:eastAsia="Calibri" w:cs="Times New Roman"/>
          <w:position w:val="-12"/>
          <w:sz w:val="20"/>
          <w:szCs w:val="20"/>
          <w:lang w:eastAsia="en-US"/>
        </w:rPr>
      </w:pPr>
      <w:r>
        <w:rPr>
          <w:rFonts w:hint="default" w:ascii="Times New Roman" w:hAnsi="Times New Roman" w:eastAsia="Calibri" w:cs="Times New Roman"/>
          <w:color w:val="auto"/>
          <w:position w:val="-12"/>
          <w:sz w:val="20"/>
          <w:szCs w:val="20"/>
          <w:lang w:val="en-US" w:eastAsia="en-US" w:bidi="ar-SA"/>
        </w:rPr>
        <w:object>
          <v:shape id="_x0000_s1038" type="#_x0000_t75" style="height:19.15pt;width:213pt;rotation:0f;" o:ole="t"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o:OLEObject Type="Embed" ProgID="" ShapeID="_x0000_s1038" DrawAspect="Content" ObjectID="_1037" r:id="rId14"/>
        </w:object>
      </w:r>
    </w:p>
    <w:p>
      <w:pPr>
        <w:pStyle w:val="17"/>
        <w:ind w:left="0" w:leftChars="0" w:firstLine="0" w:firstLineChars="0"/>
        <w:jc w:val="both"/>
        <w:rPr>
          <w:rFonts w:hint="default" w:eastAsia="Calibri" w:cs="Times New Roman"/>
          <w:position w:val="-12"/>
          <w:sz w:val="20"/>
          <w:szCs w:val="20"/>
          <w:lang w:eastAsia="en-US"/>
        </w:rPr>
      </w:pPr>
      <w:r>
        <w:rPr>
          <w:rFonts w:hint="default" w:eastAsia="Calibri" w:cs="Times New Roman"/>
          <w:position w:val="-12"/>
          <w:sz w:val="20"/>
          <w:szCs w:val="20"/>
          <w:lang w:eastAsia="en-US"/>
        </w:rPr>
        <w:t>with</w:t>
      </w:r>
    </w:p>
    <w:p>
      <w:pPr>
        <w:pStyle w:val="17"/>
        <w:ind w:left="0" w:leftChars="0" w:firstLine="0" w:firstLineChars="0"/>
        <w:jc w:val="both"/>
        <w:rPr>
          <w:rFonts w:ascii="Calibri" w:hAnsi="Calibri" w:eastAsia="Calibri"/>
          <w:position w:val="-30"/>
          <w:sz w:val="22"/>
          <w:szCs w:val="22"/>
          <w:lang w:eastAsia="en-US"/>
        </w:rPr>
      </w:pPr>
      <w:r>
        <w:rPr>
          <w:rFonts w:ascii="Calibri" w:hAnsi="Calibri" w:eastAsia="Calibri" w:cs="Times New Roman"/>
          <w:color w:val="auto"/>
          <w:position w:val="-30"/>
          <w:sz w:val="22"/>
          <w:szCs w:val="22"/>
          <w:lang w:val="en-US" w:eastAsia="en-US" w:bidi="ar-SA"/>
        </w:rPr>
        <w:object>
          <v:shape id="_x0000_s1039" type="#_x0000_t75" style="height:36pt;width:172.9pt;rotation:0f;" o:ole="t"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o:OLEObject Type="Embed" ProgID="" ShapeID="_x0000_s1039" DrawAspect="Content" ObjectID="_1038" r:id="rId16"/>
        </w:object>
      </w:r>
    </w:p>
    <w:p>
      <w:pPr>
        <w:pStyle w:val="17"/>
        <w:ind w:left="0" w:leftChars="0" w:firstLine="0" w:firstLineChars="0"/>
        <w:jc w:val="both"/>
        <w:rPr>
          <w:rFonts w:hint="default" w:eastAsia="Calibri" w:cs="Times New Roman"/>
          <w:position w:val="-30"/>
          <w:sz w:val="20"/>
          <w:szCs w:val="20"/>
          <w:lang w:eastAsia="en-US"/>
        </w:rPr>
      </w:pPr>
      <w:r>
        <w:rPr>
          <w:rFonts w:hint="default" w:eastAsia="Calibri" w:cs="Times New Roman"/>
          <w:position w:val="-30"/>
          <w:sz w:val="20"/>
          <w:szCs w:val="20"/>
          <w:lang w:eastAsia="en-US"/>
        </w:rPr>
        <w:t>and</w:t>
      </w:r>
    </w:p>
    <w:p>
      <w:pPr>
        <w:pStyle w:val="17"/>
        <w:ind w:left="0" w:leftChars="0" w:firstLine="0" w:firstLineChars="0"/>
        <w:jc w:val="both"/>
        <w:rPr>
          <w:rFonts w:ascii="Calibri" w:hAnsi="Calibri" w:eastAsia="Calibri"/>
          <w:position w:val="-30"/>
          <w:sz w:val="22"/>
          <w:szCs w:val="22"/>
          <w:lang w:eastAsia="en-US"/>
        </w:rPr>
      </w:pPr>
      <w:r>
        <w:rPr>
          <w:rFonts w:ascii="Calibri" w:hAnsi="Calibri" w:eastAsia="Calibri" w:cs="Times New Roman"/>
          <w:color w:val="auto"/>
          <w:position w:val="-30"/>
          <w:sz w:val="22"/>
          <w:szCs w:val="22"/>
          <w:lang w:val="en-US" w:eastAsia="en-US" w:bidi="ar-SA"/>
        </w:rPr>
        <w:object>
          <v:shape id="_x0000_s1040" type="#_x0000_t75" style="height:36pt;width:172.15pt;rotation:0f;" o:ole="t"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o:OLEObject Type="Embed" ProgID="" ShapeID="_x0000_s1040" DrawAspect="Content" ObjectID="_1039" r:id="rId18"/>
        </w:object>
      </w:r>
    </w:p>
    <w:p>
      <w:pPr>
        <w:pStyle w:val="17"/>
        <w:ind w:left="0" w:leftChars="0" w:firstLine="0" w:firstLineChars="0"/>
        <w:jc w:val="both"/>
        <w:rPr>
          <w:rFonts w:hint="default" w:ascii="Calibri" w:hAnsi="Calibri" w:eastAsia="Calibri"/>
          <w:position w:val="-30"/>
          <w:sz w:val="22"/>
          <w:szCs w:val="22"/>
          <w:lang w:eastAsia="en-US"/>
        </w:rPr>
      </w:pPr>
    </w:p>
    <w:p>
      <w:pPr>
        <w:pStyle w:val="17"/>
        <w:ind w:left="0" w:leftChars="0" w:firstLine="0" w:firstLineChars="0"/>
        <w:jc w:val="both"/>
        <w:rPr>
          <w:rFonts w:hint="default" w:ascii="Times New Roman" w:hAnsi="Times New Roman" w:cs="Times New Roman"/>
          <w:sz w:val="20"/>
          <w:szCs w:val="20"/>
        </w:rPr>
      </w:pPr>
      <w:r>
        <w:rPr>
          <w:rFonts w:hint="default"/>
        </w:rPr>
        <w:t>The resulting values of all the necessary coefficients can be seen in Table 1. The</w:t>
      </w:r>
      <w:r>
        <w:rPr>
          <w:rFonts w:hint="default" w:ascii="Times New Roman" w:hAnsi="Times New Roman" w:cs="Times New Roman"/>
          <w:sz w:val="20"/>
          <w:szCs w:val="20"/>
        </w:rPr>
        <w:t xml:space="preserve"> </w:t>
      </w:r>
      <w:r>
        <w:rPr>
          <w:rFonts w:hint="default" w:cs="Times New Roman"/>
          <w:sz w:val="20"/>
          <w:szCs w:val="20"/>
        </w:rPr>
        <w:t>p</w:t>
      </w:r>
      <w:r>
        <w:rPr>
          <w:rFonts w:hint="default" w:ascii="Times New Roman" w:hAnsi="Times New Roman" w:cs="Times New Roman"/>
          <w:sz w:val="20"/>
          <w:szCs w:val="20"/>
        </w:rPr>
        <w:t>arameter</w:t>
      </w:r>
      <w:r>
        <w:rPr>
          <w:rFonts w:hint="default" w:cs="Times New Roman"/>
          <w:sz w:val="20"/>
          <w:szCs w:val="20"/>
        </w:rPr>
        <w:t>s</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b</w:t>
      </w:r>
      <w:r>
        <w:rPr>
          <w:rFonts w:hint="default" w:ascii="Times New Roman" w:hAnsi="Times New Roman" w:cs="Times New Roman"/>
          <w:sz w:val="20"/>
          <w:szCs w:val="20"/>
          <w:vertAlign w:val="subscript"/>
        </w:rPr>
        <w:t>lam,1</w:t>
      </w:r>
      <w:r>
        <w:rPr>
          <w:rFonts w:hint="default" w:ascii="Times New Roman" w:hAnsi="Times New Roman" w:cs="Times New Roman"/>
          <w:sz w:val="20"/>
          <w:szCs w:val="20"/>
        </w:rPr>
        <w:t xml:space="preserve"> und </w:t>
      </w:r>
      <w:r>
        <w:rPr>
          <w:rFonts w:hint="default" w:ascii="Times New Roman" w:hAnsi="Times New Roman" w:cs="Times New Roman"/>
          <w:i/>
          <w:iCs/>
          <w:sz w:val="20"/>
          <w:szCs w:val="20"/>
        </w:rPr>
        <w:t>b</w:t>
      </w:r>
      <w:r>
        <w:rPr>
          <w:rFonts w:hint="default" w:ascii="Times New Roman" w:hAnsi="Times New Roman" w:cs="Times New Roman"/>
          <w:sz w:val="20"/>
          <w:szCs w:val="20"/>
          <w:vertAlign w:val="subscript"/>
        </w:rPr>
        <w:t>lam,2</w:t>
      </w:r>
      <w:r>
        <w:rPr>
          <w:rFonts w:hint="default" w:ascii="Times New Roman" w:hAnsi="Times New Roman" w:cs="Times New Roman"/>
          <w:sz w:val="20"/>
          <w:szCs w:val="20"/>
        </w:rPr>
        <w:t xml:space="preserve"> </w:t>
      </w:r>
      <w:r>
        <w:rPr>
          <w:rFonts w:hint="default" w:cs="Times New Roman"/>
          <w:sz w:val="20"/>
          <w:szCs w:val="20"/>
        </w:rPr>
        <w:t>are obtained using the i</w:t>
      </w:r>
      <w:r>
        <w:rPr>
          <w:rFonts w:hint="default" w:ascii="Times New Roman" w:hAnsi="Times New Roman" w:cs="Times New Roman"/>
          <w:sz w:val="20"/>
          <w:szCs w:val="20"/>
        </w:rPr>
        <w:t>ntegral</w:t>
      </w:r>
      <w:r>
        <w:rPr>
          <w:rFonts w:hint="default" w:cs="Times New Roman"/>
          <w:sz w:val="20"/>
          <w:szCs w:val="20"/>
        </w:rPr>
        <w:t xml:space="preserve"> </w:t>
      </w:r>
      <w:r>
        <w:rPr>
          <w:rFonts w:hint="default" w:ascii="Times New Roman" w:hAnsi="Times New Roman" w:cs="Times New Roman"/>
          <w:sz w:val="20"/>
          <w:szCs w:val="20"/>
        </w:rPr>
        <w:t>method</w:t>
      </w:r>
      <w:r>
        <w:rPr>
          <w:rFonts w:hint="default" w:cs="Times New Roman"/>
          <w:sz w:val="20"/>
          <w:szCs w:val="20"/>
        </w:rPr>
        <w:t xml:space="preserve"> as described in [2].</w:t>
      </w:r>
      <w:r>
        <w:rPr>
          <w:rFonts w:hint="default" w:ascii="Times New Roman" w:hAnsi="Times New Roman" w:cs="Times New Roman"/>
          <w:sz w:val="20"/>
          <w:szCs w:val="20"/>
        </w:rPr>
        <w:t xml:space="preserve">  </w:t>
      </w:r>
      <w:r>
        <w:rPr>
          <w:rFonts w:hint="default" w:cs="Times New Roman"/>
          <w:sz w:val="20"/>
          <w:szCs w:val="20"/>
        </w:rPr>
        <w:t xml:space="preserve">The geometric contour of the nozzles has been approximated using the measured shape. </w:t>
      </w:r>
    </w:p>
    <w:p>
      <w:pPr>
        <w:pStyle w:val="14"/>
        <w:numPr>
          <w:numId w:val="0"/>
        </w:numPr>
        <w:jc w:val="both"/>
        <w:rPr>
          <w:rFonts w:hint="default" w:ascii="Times New Roman" w:hAnsi="Times New Roman" w:cs="Times New Roman"/>
          <w:sz w:val="20"/>
          <w:szCs w:val="20"/>
        </w:rPr>
      </w:pPr>
      <w:r>
        <w:rPr>
          <w:rFonts w:hint="default" w:cs="Times New Roman"/>
          <w:sz w:val="20"/>
          <w:szCs w:val="20"/>
        </w:rPr>
        <w:t>The</w:t>
      </w:r>
      <w:r>
        <w:rPr>
          <w:rFonts w:hint="default" w:ascii="Times New Roman" w:hAnsi="Times New Roman" w:cs="Times New Roman"/>
          <w:sz w:val="20"/>
          <w:szCs w:val="20"/>
        </w:rPr>
        <w:t xml:space="preserve"> </w:t>
      </w:r>
      <w:r>
        <w:rPr>
          <w:rFonts w:hint="default" w:cs="Times New Roman"/>
          <w:sz w:val="20"/>
          <w:szCs w:val="20"/>
        </w:rPr>
        <w:t>p</w:t>
      </w:r>
      <w:r>
        <w:rPr>
          <w:rFonts w:hint="default" w:ascii="Times New Roman" w:hAnsi="Times New Roman" w:cs="Times New Roman"/>
          <w:sz w:val="20"/>
          <w:szCs w:val="20"/>
        </w:rPr>
        <w:t>arameter</w:t>
      </w:r>
      <w:r>
        <w:rPr>
          <w:rFonts w:hint="default" w:cs="Times New Roman"/>
          <w:sz w:val="20"/>
          <w:szCs w:val="20"/>
        </w:rPr>
        <w:t>s</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b</w:t>
      </w:r>
      <w:r>
        <w:rPr>
          <w:rFonts w:hint="default" w:ascii="Times New Roman" w:hAnsi="Times New Roman" w:cs="Times New Roman"/>
          <w:sz w:val="20"/>
          <w:szCs w:val="20"/>
          <w:vertAlign w:val="subscript"/>
        </w:rPr>
        <w:t>turb,1</w:t>
      </w:r>
      <w:r>
        <w:rPr>
          <w:rFonts w:hint="default" w:ascii="Times New Roman" w:hAnsi="Times New Roman" w:cs="Times New Roman"/>
          <w:sz w:val="20"/>
          <w:szCs w:val="20"/>
        </w:rPr>
        <w:t xml:space="preserve"> und </w:t>
      </w:r>
      <w:r>
        <w:rPr>
          <w:rFonts w:hint="default" w:ascii="Times New Roman" w:hAnsi="Times New Roman" w:cs="Times New Roman"/>
          <w:i/>
          <w:iCs/>
          <w:sz w:val="20"/>
          <w:szCs w:val="20"/>
        </w:rPr>
        <w:t>b</w:t>
      </w:r>
      <w:r>
        <w:rPr>
          <w:rFonts w:hint="default" w:ascii="Times New Roman" w:hAnsi="Times New Roman" w:cs="Times New Roman"/>
          <w:sz w:val="20"/>
          <w:szCs w:val="20"/>
          <w:vertAlign w:val="subscript"/>
        </w:rPr>
        <w:t>turb,2</w:t>
      </w:r>
      <w:r>
        <w:rPr>
          <w:rFonts w:hint="default" w:ascii="Times New Roman" w:hAnsi="Times New Roman" w:cs="Times New Roman"/>
          <w:sz w:val="20"/>
          <w:szCs w:val="20"/>
        </w:rPr>
        <w:t xml:space="preserve"> </w:t>
      </w:r>
      <w:r>
        <w:rPr>
          <w:rFonts w:hint="default" w:cs="Times New Roman"/>
          <w:sz w:val="20"/>
          <w:szCs w:val="20"/>
        </w:rPr>
        <w:t xml:space="preserve">are generally obtained from </w:t>
      </w:r>
      <w:r>
        <w:rPr>
          <w:rFonts w:hint="default" w:ascii="Times New Roman" w:hAnsi="Times New Roman" w:cs="Times New Roman"/>
          <w:i/>
          <w:iCs/>
          <w:sz w:val="20"/>
          <w:szCs w:val="20"/>
        </w:rPr>
        <w:t>b</w:t>
      </w:r>
      <w:r>
        <w:rPr>
          <w:rFonts w:hint="default" w:ascii="Times New Roman" w:hAnsi="Times New Roman" w:cs="Times New Roman"/>
          <w:sz w:val="20"/>
          <w:szCs w:val="20"/>
          <w:vertAlign w:val="subscript"/>
        </w:rPr>
        <w:t>lam,i</w:t>
      </w:r>
      <w:r>
        <w:rPr>
          <w:rFonts w:hint="default" w:ascii="Times New Roman" w:hAnsi="Times New Roman" w:cs="Times New Roman"/>
          <w:sz w:val="20"/>
          <w:szCs w:val="20"/>
        </w:rPr>
        <w:t xml:space="preserve"> </w:t>
      </w:r>
      <w:r>
        <w:rPr>
          <w:rFonts w:hint="default" w:cs="Times New Roman"/>
          <w:sz w:val="20"/>
          <w:szCs w:val="20"/>
        </w:rPr>
        <w:t xml:space="preserve">using following equations: </w:t>
      </w:r>
      <w:r>
        <w:rPr>
          <w:rFonts w:hint="default" w:ascii="Times New Roman" w:hAnsi="Times New Roman" w:cs="Times New Roman"/>
          <w:sz w:val="20"/>
          <w:szCs w:val="20"/>
        </w:rPr>
        <w:t xml:space="preserve"> </w:t>
      </w:r>
      <w:r>
        <w:rPr>
          <w:rFonts w:hint="default" w:ascii="Times New Roman" w:hAnsi="Times New Roman" w:eastAsia="Calibri" w:cs="Times New Roman"/>
          <w:position w:val="-12"/>
          <w:sz w:val="20"/>
          <w:szCs w:val="20"/>
          <w:lang w:val="en-US" w:eastAsia="en-US" w:bidi="ar-SA"/>
        </w:rPr>
        <w:object>
          <v:shape id="_x0000_s1041" type="#_x0000_t75" style="height:16.35pt;width:90.65pt;rotation:0f;" o:ole="t"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o:OLEObject Type="Embed" ProgID="" ShapeID="_x0000_s1041" DrawAspect="Content" ObjectID="_1040" r:id="rId20"/>
        </w:object>
      </w:r>
      <w:r>
        <w:rPr>
          <w:rFonts w:hint="default" w:ascii="Times New Roman" w:hAnsi="Times New Roman" w:cs="Times New Roman"/>
          <w:sz w:val="20"/>
          <w:szCs w:val="20"/>
        </w:rPr>
        <w:t xml:space="preserve"> </w:t>
      </w:r>
      <w:r>
        <w:rPr>
          <w:rFonts w:hint="default" w:cs="Times New Roman"/>
          <w:sz w:val="20"/>
          <w:szCs w:val="20"/>
        </w:rPr>
        <w:t>, equally explained in [</w:t>
      </w:r>
      <w:r>
        <w:rPr>
          <w:rFonts w:hint="default" w:cs="Times New Roman"/>
          <w:sz w:val="20"/>
          <w:szCs w:val="20"/>
          <w:lang/>
        </w:rPr>
        <w:t>8</w:t>
      </w:r>
      <w:r>
        <w:rPr>
          <w:rFonts w:hint="default" w:cs="Times New Roman"/>
          <w:sz w:val="20"/>
          <w:szCs w:val="20"/>
        </w:rPr>
        <w:t xml:space="preserve">]. </w:t>
      </w:r>
    </w:p>
    <w:p>
      <w:pPr>
        <w:pStyle w:val="14"/>
        <w:numPr>
          <w:numId w:val="0"/>
        </w:numPr>
        <w:jc w:val="both"/>
        <w:rPr>
          <w:sz w:val="20"/>
          <w:szCs w:val="20"/>
        </w:rPr>
      </w:pPr>
      <w:r>
        <w:rPr>
          <w:sz w:val="20"/>
          <w:szCs w:val="20"/>
        </w:rPr>
        <w:t xml:space="preserve">The above procedure is assuming one-dimensional Mach number distribution, so that it was not possible to compute </w:t>
      </w:r>
      <w:r>
        <w:rPr>
          <w:i/>
          <w:iCs/>
          <w:sz w:val="20"/>
          <w:szCs w:val="20"/>
        </w:rPr>
        <w:t>a</w:t>
      </w:r>
      <w:r>
        <w:rPr>
          <w:sz w:val="20"/>
          <w:szCs w:val="20"/>
          <w:vertAlign w:val="subscript"/>
        </w:rPr>
        <w:t>1</w:t>
      </w:r>
      <w:r>
        <w:rPr>
          <w:sz w:val="20"/>
          <w:szCs w:val="20"/>
        </w:rPr>
        <w:t xml:space="preserve"> and </w:t>
      </w:r>
      <w:r>
        <w:rPr>
          <w:i/>
          <w:iCs/>
          <w:sz w:val="20"/>
          <w:szCs w:val="20"/>
        </w:rPr>
        <w:t>a</w:t>
      </w:r>
      <w:r>
        <w:rPr>
          <w:sz w:val="20"/>
          <w:szCs w:val="20"/>
          <w:vertAlign w:val="subscript"/>
        </w:rPr>
        <w:t>2</w:t>
      </w:r>
      <w:r>
        <w:rPr>
          <w:sz w:val="20"/>
          <w:szCs w:val="20"/>
        </w:rPr>
        <w:t xml:space="preserve"> accurately. Therefore, as the value of  </w:t>
      </w:r>
      <w:r>
        <w:rPr>
          <w:i/>
          <w:iCs/>
          <w:sz w:val="20"/>
          <w:szCs w:val="20"/>
        </w:rPr>
        <w:t>a</w:t>
      </w:r>
      <w:r>
        <w:rPr>
          <w:sz w:val="20"/>
          <w:szCs w:val="20"/>
          <w:vertAlign w:val="subscript"/>
        </w:rPr>
        <w:t>1</w:t>
      </w:r>
      <w:r>
        <w:rPr>
          <w:sz w:val="20"/>
          <w:szCs w:val="20"/>
        </w:rPr>
        <w:t xml:space="preserve"> was too large by 0.05% and the value of </w:t>
      </w:r>
      <w:r>
        <w:rPr>
          <w:i/>
          <w:iCs/>
          <w:sz w:val="20"/>
          <w:szCs w:val="20"/>
        </w:rPr>
        <w:t>a</w:t>
      </w:r>
      <w:r>
        <w:rPr>
          <w:sz w:val="20"/>
          <w:szCs w:val="20"/>
          <w:vertAlign w:val="subscript"/>
        </w:rPr>
        <w:t>2</w:t>
      </w:r>
      <w:r>
        <w:rPr>
          <w:sz w:val="20"/>
          <w:szCs w:val="20"/>
        </w:rPr>
        <w:t xml:space="preserve"> by 0.25%, they have been adjusted using the experimental results. </w:t>
      </w:r>
    </w:p>
    <w:p>
      <w:pPr>
        <w:pStyle w:val="14"/>
        <w:numPr>
          <w:numId w:val="0"/>
        </w:numPr>
        <w:jc w:val="both"/>
        <w:rPr>
          <w:sz w:val="20"/>
          <w:szCs w:val="20"/>
        </w:rPr>
      </w:pPr>
      <w:r>
        <w:rPr>
          <w:sz w:val="20"/>
          <w:szCs w:val="20"/>
        </w:rPr>
        <w:t>The resulting curves can be seen in Figure 6 and, in more detail, in Figure 7 below.</w:t>
      </w:r>
    </w:p>
    <w:p>
      <w:pPr>
        <w:pStyle w:val="17"/>
        <w:ind w:left="0" w:leftChars="0" w:firstLine="0" w:firstLineChars="0"/>
        <w:rPr>
          <w:rFonts w:hint="default" w:ascii="Times New Roman" w:hAnsi="Times New Roman" w:cs="Times New Roman"/>
          <w:sz w:val="20"/>
          <w:szCs w:val="20"/>
        </w:rPr>
      </w:pPr>
    </w:p>
    <w:p>
      <w:pPr>
        <w:pStyle w:val="17"/>
        <w:ind w:left="0" w:leftChars="0" w:firstLine="0" w:firstLineChars="0"/>
        <w:rPr>
          <w:rFonts w:hint="default"/>
        </w:rPr>
      </w:pPr>
    </w:p>
    <w:p>
      <w:pPr>
        <w:pStyle w:val="17"/>
        <w:ind w:left="0" w:leftChars="0" w:firstLine="0" w:firstLineChars="0"/>
        <w:rPr>
          <w:rFonts w:ascii="Calibri" w:hAnsi="Calibri" w:eastAsia="Calibri"/>
          <w:sz w:val="22"/>
          <w:szCs w:val="22"/>
          <w:lang w:val="en-US" w:eastAsia="en-US"/>
        </w:rPr>
      </w:pPr>
      <w:r>
        <w:rPr>
          <w:rFonts w:ascii="Calibri" w:hAnsi="Calibri" w:eastAsia="Calibri" w:cs="Times New Roman"/>
          <w:color w:val="auto"/>
          <w:sz w:val="22"/>
          <w:szCs w:val="22"/>
          <w:lang w:val="en-US" w:eastAsia="en-US" w:bidi="ar-SA"/>
        </w:rPr>
        <w:pict>
          <v:shape id="Picture Frame 1026" o:spid="_x0000_s1042" type="#_x0000_t75" style="height:155.05pt;width:222.8pt;rotation:0f;" o:ole="f" fillcolor="#FFFFFF" filled="f" o:preferrelative="t" stroked="f" coordorigin="0,0" coordsize="21600,21600">
            <v:fill on="f" color2="#FFFFFF" focus="0%"/>
            <v:imagedata cropleft="3117f" croptop="4538f" cropright="4822f" cropbottom="4010f" gain="65536f" blacklevel="0f" gamma="0" o:title="" r:id="rId22"/>
            <o:lock v:ext="edit" position="f" selection="f" grouping="f" rotation="f" cropping="f" text="f" aspectratio="t"/>
            <w10:wrap type="none"/>
            <w10:anchorlock/>
          </v:shape>
        </w:pict>
      </w:r>
    </w:p>
    <w:p>
      <w:pPr>
        <w:pStyle w:val="17"/>
        <w:ind w:left="0" w:leftChars="0" w:firstLine="0" w:firstLineChars="0"/>
        <w:rPr>
          <w:rFonts w:hint="default" w:ascii="Times New Roman" w:hAnsi="Times New Roman" w:eastAsia="Calibri" w:cs="Times New Roman"/>
          <w:b/>
          <w:bCs/>
          <w:sz w:val="16"/>
          <w:szCs w:val="16"/>
          <w:lang w:eastAsia="en-US"/>
        </w:rPr>
      </w:pPr>
      <w:r>
        <w:rPr>
          <w:rFonts w:hint="default" w:eastAsia="Calibri" w:cs="Times New Roman"/>
          <w:b/>
          <w:bCs/>
          <w:sz w:val="16"/>
          <w:szCs w:val="16"/>
          <w:lang w:eastAsia="en-US"/>
        </w:rPr>
        <w:t xml:space="preserve">Figure 7:  </w:t>
      </w:r>
      <w:r>
        <w:rPr>
          <w:rFonts w:hint="default" w:eastAsia="Calibri" w:cs="Times New Roman"/>
          <w:b w:val="0"/>
          <w:bCs w:val="0"/>
          <w:sz w:val="16"/>
          <w:szCs w:val="16"/>
          <w:lang w:eastAsia="en-US"/>
        </w:rPr>
        <w:t>Detailed view of Figure 6.</w:t>
      </w:r>
    </w:p>
    <w:p>
      <w:pPr>
        <w:pStyle w:val="17"/>
        <w:ind w:left="0" w:leftChars="0" w:firstLine="0" w:firstLineChars="0"/>
        <w:rPr>
          <w:rFonts w:ascii="Calibri" w:hAnsi="Calibri" w:eastAsia="Calibri"/>
          <w:sz w:val="22"/>
          <w:szCs w:val="22"/>
          <w:lang w:val="en-US" w:eastAsia="en-US"/>
        </w:rPr>
      </w:pPr>
    </w:p>
    <w:p>
      <w:pPr>
        <w:pStyle w:val="17"/>
        <w:ind w:left="0" w:leftChars="0" w:firstLine="0" w:firstLineChars="0"/>
      </w:pPr>
      <w:r>
        <w:t>It is remarkable how well the theoretical curves fit the experimental data. Even at the very low Reynolds number below Re = 10</w:t>
      </w:r>
      <w:r>
        <w:rPr>
          <w:vertAlign w:val="superscript"/>
        </w:rPr>
        <w:t>4</w:t>
      </w:r>
      <w:r>
        <w:t xml:space="preserve"> for air, it falls within the measurement uncertainty. </w:t>
      </w:r>
    </w:p>
    <w:p>
      <w:pPr>
        <w:pStyle w:val="17"/>
        <w:ind w:left="0" w:leftChars="0" w:firstLine="0" w:firstLineChars="0"/>
      </w:pPr>
    </w:p>
    <w:p>
      <w:pPr>
        <w:pStyle w:val="17"/>
        <w:ind w:left="0" w:leftChars="0" w:firstLine="0" w:firstLineChars="0"/>
        <w:rPr>
          <w:b/>
          <w:bCs/>
        </w:rPr>
      </w:pPr>
      <w:r>
        <w:rPr>
          <w:b/>
          <w:bCs/>
        </w:rPr>
        <w:t>3. Numerical Flow Simulations</w:t>
      </w:r>
    </w:p>
    <w:p>
      <w:pPr>
        <w:pStyle w:val="17"/>
        <w:ind w:left="0" w:leftChars="0" w:firstLine="0" w:firstLineChars="0"/>
      </w:pPr>
    </w:p>
    <w:p>
      <w:pPr>
        <w:pStyle w:val="17"/>
        <w:ind w:left="0" w:leftChars="0" w:firstLine="0" w:firstLineChars="0"/>
      </w:pPr>
      <w:r>
        <w:t>In view of the above results, it was decided to support the experimental work by corresponding numerical flow field simulations in order to explain some of the phenomena found.</w:t>
      </w:r>
    </w:p>
    <w:p>
      <w:pPr>
        <w:pStyle w:val="17"/>
        <w:ind w:left="0" w:leftChars="0" w:firstLine="0" w:firstLineChars="0"/>
      </w:pPr>
    </w:p>
    <w:p>
      <w:pPr>
        <w:pStyle w:val="17"/>
        <w:ind w:left="0" w:leftChars="0" w:firstLine="0" w:firstLineChars="0"/>
        <w:rPr>
          <w:rFonts w:hint="default" w:cs="Times New Roman"/>
        </w:rPr>
      </w:pPr>
      <w:r>
        <w:t>There were two numerical methods that were applied to the present computations, a commercial code adapco Star CCM+ for three-dimensional simulations (the two-dimensional version of the code did not work) and the code ACHIEVE, developed by the first and third authors for axially symmetric laminar and turbulent flows. The later is a highly accurate solver based on a special version of flux difference splitting, with several turbulence models. The complex nonlinear (quadratic) k-</w:t>
      </w:r>
      <w:r>
        <w:rPr>
          <w:rFonts w:hint="default" w:ascii="Arial" w:hAnsi="Arial" w:cs="Arial"/>
        </w:rPr>
        <w:t xml:space="preserve">ω </w:t>
      </w:r>
      <w:r>
        <w:rPr>
          <w:rFonts w:hint="default" w:cs="Times New Roman"/>
        </w:rPr>
        <w:t xml:space="preserve">model as implemented by the authors worked particularly well. Details of the code ACHIEVE have been published by, among others, von Lavante and Yao [6],[7]. The comercial code CCM+, on the other hand, had in its newest version a transitional model in which the intermittency factor </w:t>
      </w:r>
      <w:r>
        <w:rPr>
          <w:rFonts w:hint="default" w:ascii="Times New Roman" w:hAnsi="Times New Roman" w:cs="Times New Roman"/>
        </w:rPr>
        <w:t>γ</w:t>
      </w:r>
      <w:r>
        <w:rPr>
          <w:rFonts w:hint="default" w:cs="Times New Roman"/>
        </w:rPr>
        <w:t xml:space="preserve"> and the Reynolds number based on the momentum thickness of the boundary layer were solved for used two separate equations. Unfortunately, the results from this model were inconsistant and unreliable.</w:t>
      </w:r>
    </w:p>
    <w:p>
      <w:pPr>
        <w:pStyle w:val="17"/>
        <w:ind w:left="0" w:leftChars="0" w:firstLine="0" w:firstLineChars="0"/>
        <w:rPr>
          <w:rFonts w:hint="default" w:cs="Times New Roman"/>
        </w:rPr>
      </w:pPr>
    </w:p>
    <w:p>
      <w:pPr>
        <w:pStyle w:val="17"/>
        <w:ind w:left="0" w:leftChars="0" w:firstLine="0" w:firstLineChars="0"/>
        <w:rPr>
          <w:rFonts w:hint="default" w:cs="Times New Roman"/>
        </w:rPr>
      </w:pPr>
      <w:r>
        <w:rPr>
          <w:rFonts w:hint="default" w:cs="Times New Roman"/>
        </w:rPr>
        <w:t>First, a standard nozzle according to ISO 9300 was investigated and the results compared to the experimental data provided by the PTB. The simulation conditions, identical to the experiment, are displayed in Table 2.</w:t>
      </w:r>
    </w:p>
    <w:p>
      <w:pPr>
        <w:pStyle w:val="17"/>
        <w:ind w:left="0" w:leftChars="0" w:firstLine="0" w:firstLineChars="0"/>
        <w:rPr>
          <w:rFonts w:hint="default" w:cs="Times New Roman"/>
        </w:rPr>
      </w:pPr>
    </w:p>
    <w:tbl>
      <w:tblPr>
        <w:tblW w:w="4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11" w:type="dxa"/>
            <w:gridSpan w:val="2"/>
            <w:tcBorders>
              <w:bottom w:val="single" w:color="auto" w:sz="4" w:space="0"/>
            </w:tcBorders>
            <w:vAlign w:val="top"/>
          </w:tcPr>
          <w:p>
            <w:pPr>
              <w:spacing w:after="0" w:line="240" w:lineRule="auto"/>
              <w:jc w:val="center"/>
              <w:rPr>
                <w:rFonts w:hint="default" w:ascii="Times New Roman" w:hAnsi="Times New Roman" w:eastAsia="Times New Roman" w:cs="Times New Roman"/>
                <w:sz w:val="20"/>
                <w:szCs w:val="24"/>
              </w:rPr>
            </w:pPr>
            <w:r>
              <w:rPr>
                <w:rFonts w:hint="default" w:ascii="Times New Roman" w:hAnsi="Times New Roman" w:eastAsia="Times New Roman" w:cs="Times New Roman"/>
                <w:sz w:val="20"/>
                <w:szCs w:val="24"/>
              </w:rPr>
              <w:t>CFVN ISO9300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35" w:type="dxa"/>
            <w:tcBorders>
              <w:top w:val="nil"/>
              <w:bottom w:val="nil"/>
              <w:right w:val="nil"/>
            </w:tcBorders>
            <w:vAlign w:val="top"/>
          </w:tcPr>
          <w:p>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T</w:t>
            </w:r>
            <w:r>
              <w:rPr>
                <w:rFonts w:hint="default" w:ascii="Times New Roman" w:hAnsi="Times New Roman" w:eastAsia="Times New Roman" w:cs="Times New Roman"/>
                <w:sz w:val="20"/>
                <w:szCs w:val="20"/>
                <w:vertAlign w:val="subscript"/>
              </w:rPr>
              <w:t>0</w:t>
            </w:r>
            <w:r>
              <w:rPr>
                <w:rFonts w:hint="default" w:ascii="Times New Roman" w:hAnsi="Times New Roman" w:eastAsia="Times New Roman" w:cs="Times New Roman"/>
                <w:sz w:val="20"/>
                <w:szCs w:val="20"/>
              </w:rPr>
              <w:t xml:space="preserve"> [°C]</w:t>
            </w:r>
          </w:p>
        </w:tc>
        <w:tc>
          <w:tcPr>
            <w:tcW w:w="1276" w:type="dxa"/>
            <w:tcBorders>
              <w:top w:val="nil"/>
              <w:left w:val="nil"/>
              <w:bottom w:val="nil"/>
            </w:tcBorders>
            <w:vAlign w:val="top"/>
          </w:tcPr>
          <w:p>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35" w:type="dxa"/>
            <w:tcBorders>
              <w:top w:val="nil"/>
              <w:bottom w:val="nil"/>
              <w:right w:val="nil"/>
            </w:tcBorders>
            <w:vAlign w:val="top"/>
          </w:tcPr>
          <w:p>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P</w:t>
            </w:r>
            <w:r>
              <w:rPr>
                <w:rFonts w:hint="default" w:ascii="Times New Roman" w:hAnsi="Times New Roman" w:eastAsia="Times New Roman" w:cs="Times New Roman"/>
                <w:sz w:val="20"/>
                <w:szCs w:val="20"/>
                <w:vertAlign w:val="subscript"/>
              </w:rPr>
              <w:t>0</w:t>
            </w:r>
            <w:r>
              <w:rPr>
                <w:rFonts w:hint="default" w:ascii="Times New Roman" w:hAnsi="Times New Roman" w:eastAsia="Times New Roman" w:cs="Times New Roman"/>
                <w:sz w:val="20"/>
                <w:szCs w:val="20"/>
              </w:rPr>
              <w:t xml:space="preserve"> [bar]</w:t>
            </w:r>
          </w:p>
        </w:tc>
        <w:tc>
          <w:tcPr>
            <w:tcW w:w="1276" w:type="dxa"/>
            <w:tcBorders>
              <w:top w:val="nil"/>
              <w:left w:val="nil"/>
              <w:bottom w:val="nil"/>
            </w:tcBorders>
            <w:vAlign w:val="top"/>
          </w:tcPr>
          <w:p>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835" w:type="dxa"/>
            <w:tcBorders>
              <w:top w:val="nil"/>
              <w:bottom w:val="nil"/>
              <w:right w:val="nil"/>
            </w:tcBorders>
            <w:vAlign w:val="top"/>
          </w:tcPr>
          <w:p>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D* [mm]</w:t>
            </w:r>
          </w:p>
        </w:tc>
        <w:tc>
          <w:tcPr>
            <w:tcW w:w="1276" w:type="dxa"/>
            <w:tcBorders>
              <w:top w:val="nil"/>
              <w:left w:val="nil"/>
              <w:bottom w:val="nil"/>
            </w:tcBorders>
            <w:vAlign w:val="top"/>
          </w:tcPr>
          <w:p>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35" w:type="dxa"/>
            <w:tcBorders>
              <w:top w:val="nil"/>
              <w:bottom w:val="single" w:color="auto" w:sz="4" w:space="0"/>
              <w:right w:val="nil"/>
            </w:tcBorders>
            <w:vAlign w:val="top"/>
          </w:tcPr>
          <w:p>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Diffusor half angle</w:t>
            </w:r>
          </w:p>
        </w:tc>
        <w:tc>
          <w:tcPr>
            <w:tcW w:w="1276" w:type="dxa"/>
            <w:tcBorders>
              <w:top w:val="nil"/>
              <w:left w:val="nil"/>
              <w:bottom w:val="single" w:color="auto" w:sz="4" w:space="0"/>
            </w:tcBorders>
            <w:vAlign w:val="top"/>
          </w:tcPr>
          <w:p>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4°</w:t>
            </w:r>
          </w:p>
        </w:tc>
      </w:tr>
    </w:tbl>
    <w:p>
      <w:pPr>
        <w:pStyle w:val="17"/>
        <w:ind w:left="0" w:leftChars="0" w:firstLine="0" w:firstLineChars="0"/>
        <w:rPr>
          <w:rFonts w:hint="default" w:cs="Times New Roman"/>
          <w:b/>
          <w:bCs/>
          <w:sz w:val="16"/>
          <w:szCs w:val="16"/>
        </w:rPr>
      </w:pPr>
    </w:p>
    <w:p>
      <w:pPr>
        <w:pStyle w:val="17"/>
        <w:ind w:left="0" w:leftChars="0" w:firstLine="0" w:firstLineChars="0"/>
        <w:rPr>
          <w:rFonts w:hint="default" w:cs="Times New Roman"/>
          <w:b/>
          <w:bCs/>
          <w:sz w:val="16"/>
          <w:szCs w:val="16"/>
        </w:rPr>
      </w:pPr>
      <w:r>
        <w:rPr>
          <w:rFonts w:hint="default" w:cs="Times New Roman"/>
          <w:b/>
          <w:bCs/>
          <w:sz w:val="16"/>
          <w:szCs w:val="16"/>
        </w:rPr>
        <w:t xml:space="preserve">Table 2: </w:t>
      </w:r>
      <w:r>
        <w:rPr>
          <w:rFonts w:hint="default" w:cs="Times New Roman"/>
          <w:b w:val="0"/>
          <w:bCs w:val="0"/>
          <w:sz w:val="16"/>
          <w:szCs w:val="16"/>
        </w:rPr>
        <w:t>Flow conditions and basic geometry of investigated nozzle</w:t>
      </w:r>
    </w:p>
    <w:p>
      <w:pPr>
        <w:pStyle w:val="17"/>
        <w:ind w:left="0" w:leftChars="0" w:firstLine="0" w:firstLineChars="0"/>
        <w:rPr>
          <w:rFonts w:hint="default" w:cs="Times New Roman"/>
        </w:rPr>
      </w:pPr>
      <w:r>
        <w:rPr>
          <w:rFonts w:hint="default" w:cs="Times New Roman"/>
        </w:rPr>
        <w:t>The deviation from the steady state mass flow is plotted as a function of the back pressure ratio BPR, defined as p</w:t>
      </w:r>
      <w:r>
        <w:rPr>
          <w:rFonts w:hint="default" w:cs="Times New Roman"/>
          <w:vertAlign w:val="subscript"/>
        </w:rPr>
        <w:t>out</w:t>
      </w:r>
      <w:r>
        <w:rPr>
          <w:rFonts w:hint="default" w:cs="Times New Roman"/>
        </w:rPr>
        <w:t>/P</w:t>
      </w:r>
      <w:r>
        <w:rPr>
          <w:rFonts w:hint="default" w:cs="Times New Roman"/>
          <w:vertAlign w:val="subscript"/>
        </w:rPr>
        <w:t>0</w:t>
      </w:r>
      <w:r>
        <w:rPr>
          <w:rFonts w:hint="default" w:cs="Times New Roman"/>
        </w:rPr>
        <w:t xml:space="preserve"> , where p</w:t>
      </w:r>
      <w:r>
        <w:rPr>
          <w:rFonts w:hint="default" w:cs="Times New Roman"/>
          <w:vertAlign w:val="subscript"/>
        </w:rPr>
        <w:t>out</w:t>
      </w:r>
      <w:r>
        <w:rPr>
          <w:rFonts w:hint="default" w:cs="Times New Roman"/>
        </w:rPr>
        <w:t xml:space="preserve"> is the outflow pressure and P</w:t>
      </w:r>
      <w:r>
        <w:rPr>
          <w:rFonts w:hint="default" w:cs="Times New Roman"/>
          <w:vertAlign w:val="subscript"/>
        </w:rPr>
        <w:t>0</w:t>
      </w:r>
      <w:r>
        <w:rPr>
          <w:rFonts w:hint="default" w:cs="Times New Roman"/>
        </w:rPr>
        <w:t xml:space="preserve"> the total pressure.</w:t>
      </w:r>
    </w:p>
    <w:p>
      <w:pPr>
        <w:pStyle w:val="17"/>
        <w:ind w:left="0" w:leftChars="0" w:firstLine="0" w:firstLineChars="0"/>
        <w:rPr>
          <w:rFonts w:hint="default" w:cs="Times New Roman"/>
        </w:rPr>
      </w:pPr>
    </w:p>
    <w:p>
      <w:pPr>
        <w:pStyle w:val="17"/>
        <w:ind w:left="0" w:leftChars="0" w:firstLine="0" w:firstLineChars="0"/>
      </w:pPr>
      <w:r>
        <w:rPr>
          <w:rFonts w:ascii="Times New Roman" w:hAnsi="Times New Roman" w:eastAsia="Times New Roman" w:cs="Times New Roman"/>
          <w:color w:val="auto"/>
          <w:sz w:val="20"/>
          <w:lang w:val="en-US" w:eastAsia="zh-CN" w:bidi="ar-SA"/>
        </w:rPr>
        <w:pict>
          <v:shape id="Picture Frame 1045" o:spid="_x0000_s1043" type="#_x0000_t75" style="height:156.45pt;width:242pt;rotation:0f;" o:ole="f" fillcolor="#FFFFFF" filled="f" o:preferrelative="t" stroked="t" coordorigin="0,0" coordsize="21600,21600">
            <v:fill on="f" color2="#FFFFFF" focus="0%"/>
            <v:stroke color="#000000" color2="#FFFFFF" miterlimit="2"/>
            <v:imagedata gain="65536f" blacklevel="0f" gamma="0" o:title="" r:id="rId23"/>
            <o:lock v:ext="edit" position="f" selection="f" grouping="f" rotation="f" cropping="f" text="f" aspectratio="t"/>
            <w10:wrap type="none"/>
            <w10:anchorlock/>
          </v:shape>
        </w:pict>
      </w:r>
    </w:p>
    <w:p>
      <w:pPr>
        <w:pStyle w:val="17"/>
        <w:ind w:left="0" w:leftChars="0" w:firstLine="0" w:firstLineChars="0"/>
      </w:pPr>
    </w:p>
    <w:p>
      <w:pPr>
        <w:pStyle w:val="17"/>
        <w:ind w:left="0" w:leftChars="0" w:firstLine="0" w:firstLineChars="0"/>
        <w:rPr>
          <w:b/>
          <w:bCs/>
          <w:sz w:val="16"/>
          <w:szCs w:val="16"/>
        </w:rPr>
      </w:pPr>
      <w:r>
        <w:rPr>
          <w:b/>
          <w:bCs/>
          <w:sz w:val="16"/>
          <w:szCs w:val="16"/>
        </w:rPr>
        <w:t>Figure 8:</w:t>
      </w:r>
      <w:r>
        <w:rPr>
          <w:b w:val="0"/>
          <w:bCs w:val="0"/>
          <w:sz w:val="16"/>
          <w:szCs w:val="16"/>
        </w:rPr>
        <w:t xml:space="preserve"> Deviation of the mass flow from the steady state value as a function of the back pressure ratio.</w:t>
      </w:r>
    </w:p>
    <w:p>
      <w:pPr>
        <w:pStyle w:val="17"/>
        <w:ind w:left="0" w:leftChars="0" w:firstLine="0" w:firstLineChars="0"/>
      </w:pPr>
    </w:p>
    <w:p>
      <w:pPr>
        <w:pStyle w:val="17"/>
        <w:ind w:left="0" w:leftChars="0" w:firstLine="0" w:firstLineChars="0"/>
        <w:rPr>
          <w:rFonts w:hint="default" w:cs="Times New Roman"/>
        </w:rPr>
      </w:pPr>
      <w:r>
        <w:t>Compared are the experimental values (black dots) with simulation results using ACHIEVE with linear k-</w:t>
      </w:r>
      <w:r>
        <w:rPr>
          <w:rFonts w:hint="default" w:ascii="Arial" w:hAnsi="Arial" w:cs="Arial"/>
        </w:rPr>
        <w:t xml:space="preserve">ω </w:t>
      </w:r>
      <w:r>
        <w:rPr>
          <w:rFonts w:hint="default" w:ascii="Times New Roman" w:hAnsi="Times New Roman" w:cs="Times New Roman"/>
        </w:rPr>
        <w:t>turbulence</w:t>
      </w:r>
      <w:r>
        <w:rPr>
          <w:rFonts w:hint="default" w:cs="Times New Roman"/>
        </w:rPr>
        <w:t xml:space="preserve"> model, quadratic k-</w:t>
      </w:r>
      <w:r>
        <w:rPr>
          <w:rFonts w:hint="default" w:ascii="Arial" w:hAnsi="Arial" w:cs="Arial"/>
        </w:rPr>
        <w:t xml:space="preserve">ω </w:t>
      </w:r>
      <w:r>
        <w:rPr>
          <w:rFonts w:hint="default" w:cs="Times New Roman"/>
        </w:rPr>
        <w:t xml:space="preserve">turbulence model, laminar computation and Star CCM+ computation with the </w:t>
      </w:r>
      <w:r>
        <w:rPr>
          <w:rFonts w:hint="default" w:ascii="Times New Roman" w:hAnsi="Times New Roman" w:cs="Times New Roman"/>
        </w:rPr>
        <w:t>γ</w:t>
      </w:r>
      <w:r>
        <w:rPr>
          <w:rFonts w:hint="default" w:cs="Times New Roman"/>
        </w:rPr>
        <w:t>-Re</w:t>
      </w:r>
      <w:r>
        <w:rPr>
          <w:rFonts w:hint="default" w:ascii="Arial" w:hAnsi="Arial" w:cs="Arial"/>
          <w:vertAlign w:val="subscript"/>
        </w:rPr>
        <w:t>θ</w:t>
      </w:r>
      <w:r>
        <w:rPr>
          <w:rFonts w:hint="default" w:ascii="Arial" w:hAnsi="Arial" w:cs="Arial"/>
        </w:rPr>
        <w:t xml:space="preserve"> </w:t>
      </w:r>
      <w:r>
        <w:rPr>
          <w:rFonts w:hint="default" w:ascii="Times New Roman" w:hAnsi="Times New Roman" w:cs="Times New Roman"/>
        </w:rPr>
        <w:t>transition model.</w:t>
      </w:r>
      <w:r>
        <w:rPr>
          <w:rFonts w:hint="default" w:cs="Times New Roman"/>
        </w:rPr>
        <w:t xml:space="preserve"> All of the models gave correct steady state mass flow and captured reasonably well the character of the functional behaviour of the C</w:t>
      </w:r>
      <w:r>
        <w:rPr>
          <w:rFonts w:hint="default" w:cs="Times New Roman"/>
          <w:vertAlign w:val="subscript"/>
        </w:rPr>
        <w:t>D</w:t>
      </w:r>
      <w:r>
        <w:rPr>
          <w:rFonts w:hint="default" w:cs="Times New Roman"/>
        </w:rPr>
        <w:t xml:space="preserve"> coefficient, but the mass flow in the laminar flow simulation is way too low, and the CCM+ simulation too high. Both k-</w:t>
      </w:r>
      <w:r>
        <w:rPr>
          <w:rFonts w:hint="default" w:ascii="Arial" w:hAnsi="Arial" w:cs="Arial"/>
        </w:rPr>
        <w:t xml:space="preserve">ω </w:t>
      </w:r>
      <w:r>
        <w:rPr>
          <w:rFonts w:hint="default" w:cs="Times New Roman"/>
        </w:rPr>
        <w:t>models performed adequatly.</w:t>
      </w:r>
    </w:p>
    <w:p>
      <w:pPr>
        <w:pStyle w:val="17"/>
        <w:ind w:left="0" w:leftChars="0" w:firstLine="0" w:firstLineChars="0"/>
        <w:rPr>
          <w:rFonts w:hint="default" w:cs="Times New Roman"/>
        </w:rPr>
      </w:pPr>
    </w:p>
    <w:p>
      <w:pPr>
        <w:pStyle w:val="17"/>
        <w:ind w:left="0" w:leftChars="0" w:firstLine="0" w:firstLineChars="0"/>
      </w:pPr>
      <w:r>
        <w:rPr>
          <w:rFonts w:hint="default" w:cs="Times New Roman"/>
        </w:rPr>
        <w:t xml:space="preserve">Next, the flow in the two special stepped nozzles was simulated for the range of Reynolds numbers used in the pigsar experiments. </w:t>
      </w:r>
      <w:r>
        <w:rPr>
          <w:lang w:val="en-US"/>
        </w:rPr>
        <w:t xml:space="preserve">In the present </w:t>
      </w:r>
      <w:r>
        <w:t xml:space="preserve">numerical </w:t>
      </w:r>
      <w:r>
        <w:rPr>
          <w:lang w:val="en-US"/>
        </w:rPr>
        <w:t>investigation</w:t>
      </w:r>
      <w:r>
        <w:t>s</w:t>
      </w:r>
      <w:r>
        <w:rPr>
          <w:lang w:val="en-US"/>
        </w:rPr>
        <w:t xml:space="preserve">, only smooth </w:t>
      </w:r>
      <w:r>
        <w:t>surfaces</w:t>
      </w:r>
      <w:r>
        <w:rPr>
          <w:lang w:val="en-US"/>
        </w:rPr>
        <w:t xml:space="preserve"> were considered</w:t>
      </w:r>
      <w:r>
        <w:t>, imposing a significant constrain on the simulations.</w:t>
      </w:r>
      <w:r>
        <w:rPr>
          <w:lang w:val="en-US"/>
        </w:rPr>
        <w:t xml:space="preserve">  The Reynolds number was varied by changing the total pressure. The pressure ratio P</w:t>
      </w:r>
      <w:r>
        <w:rPr>
          <w:vertAlign w:val="subscript"/>
          <w:lang w:val="en-US"/>
        </w:rPr>
        <w:t>out</w:t>
      </w:r>
      <w:r>
        <w:rPr>
          <w:lang w:val="en-US"/>
        </w:rPr>
        <w:t>/P</w:t>
      </w:r>
      <w:r>
        <w:rPr>
          <w:vertAlign w:val="subscript"/>
          <w:lang w:val="en-US"/>
        </w:rPr>
        <w:t>0</w:t>
      </w:r>
      <w:r>
        <w:rPr>
          <w:lang w:val="en-US"/>
        </w:rPr>
        <w:t xml:space="preserve"> was changed between 0.</w:t>
      </w:r>
      <w:r>
        <w:t>837</w:t>
      </w:r>
      <w:r>
        <w:rPr>
          <w:lang w:val="en-US"/>
        </w:rPr>
        <w:t xml:space="preserve"> and 0.</w:t>
      </w:r>
      <w:r>
        <w:t>279</w:t>
      </w:r>
      <w:r>
        <w:rPr>
          <w:lang w:val="en-US"/>
        </w:rPr>
        <w:t xml:space="preserve">. </w:t>
      </w:r>
      <w:r>
        <w:t>Again, the details of this simulations can be found in Table 3.</w:t>
      </w:r>
    </w:p>
    <w:p>
      <w:pPr>
        <w:pStyle w:val="17"/>
        <w:ind w:left="0" w:leftChars="0" w:firstLine="0" w:firstLineChars="0"/>
      </w:pPr>
    </w:p>
    <w:tbl>
      <w:tblPr>
        <w:tblW w:w="4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0"/>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11" w:type="dxa"/>
            <w:gridSpan w:val="2"/>
            <w:tcBorders>
              <w:bottom w:val="single" w:color="auto" w:sz="4" w:space="0"/>
            </w:tcBorders>
            <w:vAlign w:val="top"/>
          </w:tcPr>
          <w:p>
            <w:pPr>
              <w:spacing w:after="0" w:line="240" w:lineRule="auto"/>
              <w:jc w:val="center"/>
              <w:rPr>
                <w:rFonts w:hint="default" w:ascii="Times New Roman" w:hAnsi="Times New Roman" w:eastAsia="Times New Roman" w:cs="Times New Roman"/>
                <w:sz w:val="20"/>
                <w:szCs w:val="24"/>
              </w:rPr>
            </w:pPr>
            <w:r>
              <w:rPr>
                <w:rFonts w:hint="default" w:ascii="Times New Roman" w:hAnsi="Times New Roman" w:eastAsia="Times New Roman" w:cs="Times New Roman"/>
                <w:sz w:val="20"/>
                <w:szCs w:val="24"/>
              </w:rPr>
              <w:t>CFVN LK1d7 &amp; LK2d7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0" w:type="dxa"/>
            <w:tcBorders>
              <w:bottom w:val="nil"/>
              <w:right w:val="nil"/>
            </w:tcBorders>
            <w:vAlign w:val="top"/>
          </w:tcPr>
          <w:p>
            <w:pPr>
              <w:spacing w:after="0" w:line="240" w:lineRule="auto"/>
              <w:rPr>
                <w:rFonts w:hint="default" w:ascii="Times New Roman" w:hAnsi="Times New Roman" w:eastAsia="Times New Roman" w:cs="Times New Roman"/>
                <w:sz w:val="20"/>
                <w:szCs w:val="20"/>
              </w:rPr>
            </w:pPr>
            <w:r>
              <w:rPr>
                <w:rFonts w:hint="default" w:cs="Times New Roman"/>
                <w:sz w:val="20"/>
                <w:szCs w:val="20"/>
              </w:rPr>
              <w:t xml:space="preserve">Inflow </w:t>
            </w:r>
            <w:r>
              <w:rPr>
                <w:rFonts w:hint="default" w:ascii="Times New Roman" w:hAnsi="Times New Roman" w:eastAsia="Times New Roman" w:cs="Times New Roman"/>
                <w:sz w:val="20"/>
                <w:szCs w:val="20"/>
              </w:rPr>
              <w:t>Mach</w:t>
            </w:r>
            <w:r>
              <w:rPr>
                <w:rFonts w:hint="default" w:cs="Times New Roman"/>
                <w:sz w:val="20"/>
                <w:szCs w:val="20"/>
              </w:rPr>
              <w:t xml:space="preserve"> </w:t>
            </w:r>
            <w:r>
              <w:rPr>
                <w:rFonts w:hint="default" w:ascii="Times New Roman" w:hAnsi="Times New Roman" w:eastAsia="Times New Roman" w:cs="Times New Roman"/>
                <w:sz w:val="20"/>
                <w:szCs w:val="20"/>
              </w:rPr>
              <w:t>number</w:t>
            </w:r>
          </w:p>
        </w:tc>
        <w:tc>
          <w:tcPr>
            <w:tcW w:w="1311" w:type="dxa"/>
            <w:tcBorders>
              <w:left w:val="nil"/>
              <w:bottom w:val="nil"/>
            </w:tcBorders>
            <w:vAlign w:val="top"/>
          </w:tcPr>
          <w:p>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0" w:type="dxa"/>
            <w:tcBorders>
              <w:top w:val="nil"/>
              <w:bottom w:val="nil"/>
              <w:right w:val="nil"/>
            </w:tcBorders>
            <w:vAlign w:val="top"/>
          </w:tcPr>
          <w:p>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T</w:t>
            </w:r>
            <w:r>
              <w:rPr>
                <w:rFonts w:hint="default" w:ascii="Times New Roman" w:hAnsi="Times New Roman" w:eastAsia="Times New Roman" w:cs="Times New Roman"/>
                <w:sz w:val="20"/>
                <w:szCs w:val="20"/>
                <w:vertAlign w:val="subscript"/>
              </w:rPr>
              <w:t>0</w:t>
            </w:r>
            <w:r>
              <w:rPr>
                <w:rFonts w:hint="default" w:ascii="Times New Roman" w:hAnsi="Times New Roman" w:eastAsia="Times New Roman" w:cs="Times New Roman"/>
                <w:sz w:val="20"/>
                <w:szCs w:val="20"/>
              </w:rPr>
              <w:t xml:space="preserve"> [°C]</w:t>
            </w:r>
          </w:p>
        </w:tc>
        <w:tc>
          <w:tcPr>
            <w:tcW w:w="1311" w:type="dxa"/>
            <w:tcBorders>
              <w:top w:val="nil"/>
              <w:left w:val="nil"/>
              <w:bottom w:val="nil"/>
            </w:tcBorders>
            <w:vAlign w:val="top"/>
          </w:tcPr>
          <w:p>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800" w:type="dxa"/>
            <w:tcBorders>
              <w:top w:val="nil"/>
              <w:bottom w:val="nil"/>
              <w:right w:val="nil"/>
            </w:tcBorders>
            <w:vAlign w:val="top"/>
          </w:tcPr>
          <w:p>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Pexit [bar]</w:t>
            </w:r>
          </w:p>
        </w:tc>
        <w:tc>
          <w:tcPr>
            <w:tcW w:w="1311" w:type="dxa"/>
            <w:tcBorders>
              <w:top w:val="nil"/>
              <w:left w:val="nil"/>
              <w:bottom w:val="nil"/>
            </w:tcBorders>
            <w:vAlign w:val="top"/>
          </w:tcPr>
          <w:p>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0" w:type="dxa"/>
            <w:tcBorders>
              <w:top w:val="nil"/>
              <w:bottom w:val="nil"/>
              <w:right w:val="nil"/>
            </w:tcBorders>
            <w:vAlign w:val="top"/>
          </w:tcPr>
          <w:p>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P</w:t>
            </w:r>
            <w:r>
              <w:rPr>
                <w:rFonts w:hint="default" w:ascii="Times New Roman" w:hAnsi="Times New Roman" w:eastAsia="Times New Roman" w:cs="Times New Roman"/>
                <w:sz w:val="20"/>
                <w:szCs w:val="20"/>
                <w:vertAlign w:val="subscript"/>
              </w:rPr>
              <w:t>0</w:t>
            </w:r>
            <w:r>
              <w:rPr>
                <w:rFonts w:hint="default" w:ascii="Times New Roman" w:hAnsi="Times New Roman" w:eastAsia="Times New Roman" w:cs="Times New Roman"/>
                <w:sz w:val="20"/>
                <w:szCs w:val="20"/>
              </w:rPr>
              <w:t xml:space="preserve"> [bar]</w:t>
            </w:r>
          </w:p>
        </w:tc>
        <w:tc>
          <w:tcPr>
            <w:tcW w:w="1311" w:type="dxa"/>
            <w:tcBorders>
              <w:top w:val="nil"/>
              <w:left w:val="nil"/>
              <w:bottom w:val="nil"/>
            </w:tcBorders>
            <w:vAlign w:val="top"/>
          </w:tcPr>
          <w:p>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8 - 24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0" w:type="dxa"/>
            <w:tcBorders>
              <w:top w:val="nil"/>
              <w:bottom w:val="nil"/>
              <w:right w:val="nil"/>
            </w:tcBorders>
            <w:vAlign w:val="top"/>
          </w:tcPr>
          <w:p>
            <w:pPr>
              <w:spacing w:after="0" w:line="240" w:lineRule="auto"/>
              <w:rPr>
                <w:rFonts w:hint="default" w:ascii="Times New Roman" w:hAnsi="Times New Roman" w:eastAsia="Times New Roman" w:cs="Times New Roman"/>
                <w:sz w:val="20"/>
                <w:szCs w:val="20"/>
              </w:rPr>
            </w:pPr>
            <w:bookmarkStart w:id="0" w:name="_GoBack"/>
            <w:r>
              <w:rPr>
                <w:rFonts w:hint="default" w:ascii="Times New Roman" w:hAnsi="Times New Roman" w:eastAsia="Times New Roman" w:cs="Times New Roman"/>
                <w:sz w:val="20"/>
                <w:szCs w:val="20"/>
              </w:rPr>
              <w:t>D* [mm]</w:t>
            </w:r>
          </w:p>
        </w:tc>
        <w:tc>
          <w:tcPr>
            <w:tcW w:w="1311" w:type="dxa"/>
            <w:tcBorders>
              <w:top w:val="nil"/>
              <w:left w:val="nil"/>
              <w:bottom w:val="nil"/>
            </w:tcBorders>
            <w:vAlign w:val="top"/>
          </w:tcPr>
          <w:p>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7,00</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0" w:type="dxa"/>
            <w:tcBorders>
              <w:top w:val="nil"/>
              <w:bottom w:val="nil"/>
              <w:right w:val="nil"/>
            </w:tcBorders>
            <w:vAlign w:val="top"/>
          </w:tcPr>
          <w:p>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Re-Numbers</w:t>
            </w:r>
          </w:p>
        </w:tc>
        <w:tc>
          <w:tcPr>
            <w:tcW w:w="1311" w:type="dxa"/>
            <w:tcBorders>
              <w:top w:val="nil"/>
              <w:left w:val="nil"/>
              <w:bottom w:val="nil"/>
            </w:tcBorders>
            <w:vAlign w:val="top"/>
          </w:tcPr>
          <w:p>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9.10</w:t>
            </w:r>
            <w:r>
              <w:rPr>
                <w:rFonts w:hint="default" w:ascii="Times New Roman" w:hAnsi="Times New Roman" w:eastAsia="Times New Roman" w:cs="Times New Roman"/>
                <w:sz w:val="20"/>
                <w:szCs w:val="20"/>
                <w:vertAlign w:val="superscript"/>
              </w:rPr>
              <w:t>5</w:t>
            </w:r>
            <w:r>
              <w:rPr>
                <w:rFonts w:hint="default" w:ascii="Times New Roman" w:hAnsi="Times New Roman" w:eastAsia="Times New Roman" w:cs="Times New Roman"/>
                <w:sz w:val="20"/>
                <w:szCs w:val="20"/>
              </w:rPr>
              <w:t>- 4.10</w:t>
            </w:r>
            <w:r>
              <w:rPr>
                <w:rFonts w:hint="default" w:ascii="Times New Roman" w:hAnsi="Times New Roman" w:eastAsia="Times New Roman" w:cs="Times New Roman"/>
                <w:sz w:val="20"/>
                <w:szCs w:val="20"/>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800" w:type="dxa"/>
            <w:tcBorders>
              <w:top w:val="nil"/>
              <w:bottom w:val="single" w:color="auto" w:sz="4" w:space="0"/>
              <w:right w:val="nil"/>
            </w:tcBorders>
            <w:vAlign w:val="top"/>
          </w:tcPr>
          <w:p>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Diffusor Angle</w:t>
            </w:r>
          </w:p>
        </w:tc>
        <w:tc>
          <w:tcPr>
            <w:tcW w:w="1311" w:type="dxa"/>
            <w:tcBorders>
              <w:top w:val="nil"/>
              <w:left w:val="nil"/>
              <w:bottom w:val="single" w:color="auto" w:sz="4" w:space="0"/>
            </w:tcBorders>
            <w:vAlign w:val="top"/>
          </w:tcPr>
          <w:p>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4°</w:t>
            </w:r>
          </w:p>
        </w:tc>
      </w:tr>
    </w:tbl>
    <w:p>
      <w:pPr>
        <w:pStyle w:val="17"/>
        <w:ind w:left="0" w:leftChars="0" w:firstLine="0" w:firstLineChars="0"/>
        <w:rPr>
          <w:lang w:val="en-US"/>
        </w:rPr>
      </w:pPr>
    </w:p>
    <w:p>
      <w:pPr>
        <w:pStyle w:val="17"/>
        <w:ind w:left="0" w:leftChars="0" w:firstLine="0" w:firstLineChars="0"/>
        <w:rPr>
          <w:b w:val="0"/>
          <w:bCs w:val="0"/>
          <w:sz w:val="16"/>
          <w:szCs w:val="16"/>
        </w:rPr>
      </w:pPr>
      <w:r>
        <w:rPr>
          <w:b/>
          <w:bCs/>
          <w:sz w:val="16"/>
          <w:szCs w:val="16"/>
        </w:rPr>
        <w:t xml:space="preserve">Table 3: </w:t>
      </w:r>
      <w:r>
        <w:rPr>
          <w:b w:val="0"/>
          <w:bCs w:val="0"/>
          <w:sz w:val="16"/>
          <w:szCs w:val="16"/>
        </w:rPr>
        <w:t>Flow conditions for the two non-standard nozzles</w:t>
      </w:r>
    </w:p>
    <w:p>
      <w:pPr>
        <w:pStyle w:val="17"/>
        <w:ind w:left="0" w:leftChars="0" w:firstLine="0" w:firstLineChars="0"/>
        <w:rPr>
          <w:b w:val="0"/>
          <w:bCs w:val="0"/>
          <w:sz w:val="16"/>
          <w:szCs w:val="16"/>
        </w:rPr>
      </w:pPr>
    </w:p>
    <w:p>
      <w:pPr>
        <w:pStyle w:val="17"/>
        <w:ind w:left="0" w:leftChars="0" w:firstLine="0" w:firstLineChars="0"/>
        <w:rPr>
          <w:b w:val="0"/>
          <w:bCs/>
        </w:rPr>
      </w:pPr>
      <w:r>
        <w:rPr>
          <w:b w:val="0"/>
          <w:bCs/>
          <w:lang w:val="en-US"/>
        </w:rPr>
        <w:t xml:space="preserve">The </w:t>
      </w:r>
      <w:r>
        <w:rPr>
          <w:b w:val="0"/>
          <w:bCs/>
        </w:rPr>
        <w:t>resulting C</w:t>
      </w:r>
      <w:r>
        <w:rPr>
          <w:b w:val="0"/>
          <w:bCs/>
          <w:vertAlign w:val="subscript"/>
        </w:rPr>
        <w:t>D</w:t>
      </w:r>
      <w:r>
        <w:rPr>
          <w:b w:val="0"/>
          <w:bCs/>
        </w:rPr>
        <w:t xml:space="preserve"> coefficient as a function of the Reynolds number is shown in Figure 9 for the LK1d7 nozzle (reminder: radius of intake curvature R</w:t>
      </w:r>
      <w:r>
        <w:rPr>
          <w:b w:val="0"/>
          <w:bCs/>
          <w:vertAlign w:val="subscript"/>
        </w:rPr>
        <w:t>c</w:t>
      </w:r>
      <w:r>
        <w:rPr>
          <w:b w:val="0"/>
          <w:bCs/>
        </w:rPr>
        <w:t xml:space="preserve">=1D) and in Figure 10 for the LK2d7 nozzle. The numerical results are compared with the results from the experimental work at pigsar. </w:t>
      </w:r>
    </w:p>
    <w:p>
      <w:pPr>
        <w:pStyle w:val="2"/>
        <w:jc w:val="both"/>
        <w:rPr>
          <w:b w:val="0"/>
          <w:bCs/>
        </w:rPr>
      </w:pPr>
    </w:p>
    <w:p>
      <w:pPr>
        <w:pStyle w:val="2"/>
        <w:jc w:val="both"/>
        <w:rPr>
          <w:b w:val="0"/>
          <w:bCs/>
        </w:rPr>
      </w:pPr>
      <w:r>
        <w:rPr>
          <w:b w:val="0"/>
          <w:bCs/>
        </w:rPr>
        <w:t>The results were corrected for the measured real geometric data, as given by the calibration documents from PTB.</w:t>
      </w:r>
    </w:p>
    <w:p>
      <w:pPr>
        <w:rPr>
          <w:b w:val="0"/>
          <w:bCs/>
        </w:rPr>
      </w:pPr>
    </w:p>
    <w:p>
      <w:pPr>
        <w:rPr>
          <w:b w:val="0"/>
          <w:bCs/>
          <w:lang w:val="en-US"/>
        </w:rPr>
      </w:pPr>
      <w:r>
        <w:rPr>
          <w:rFonts w:ascii="Times New Roman" w:hAnsi="Times New Roman" w:eastAsia="Times New Roman" w:cs="Times New Roman"/>
          <w:sz w:val="24"/>
          <w:lang w:val="en-US" w:eastAsia="zh-CN" w:bidi="ar-SA"/>
        </w:rPr>
        <w:pict>
          <v:shape id="Picture Frame 1046" o:spid="_x0000_s1044" type="#_x0000_t75" style="height:156.8pt;width:242.6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pStyle w:val="5"/>
        <w:jc w:val="both"/>
        <w:rPr>
          <w:i/>
        </w:rPr>
      </w:pPr>
    </w:p>
    <w:p>
      <w:pPr>
        <w:pStyle w:val="5"/>
        <w:jc w:val="both"/>
        <w:rPr>
          <w:b w:val="0"/>
          <w:bCs w:val="0"/>
          <w:i w:val="0"/>
          <w:iCs/>
          <w:sz w:val="16"/>
          <w:szCs w:val="16"/>
        </w:rPr>
      </w:pPr>
      <w:r>
        <w:rPr>
          <w:b/>
          <w:bCs/>
          <w:i w:val="0"/>
          <w:iCs/>
          <w:sz w:val="16"/>
          <w:szCs w:val="16"/>
        </w:rPr>
        <w:t>Figure 9:</w:t>
      </w:r>
      <w:r>
        <w:rPr>
          <w:b w:val="0"/>
          <w:bCs w:val="0"/>
          <w:i w:val="0"/>
          <w:iCs/>
          <w:sz w:val="16"/>
          <w:szCs w:val="16"/>
        </w:rPr>
        <w:t xml:space="preserve"> Comparison of numerical and experimental results for the C</w:t>
      </w:r>
      <w:r>
        <w:rPr>
          <w:b w:val="0"/>
          <w:bCs w:val="0"/>
          <w:i w:val="0"/>
          <w:iCs/>
          <w:sz w:val="16"/>
          <w:szCs w:val="16"/>
          <w:vertAlign w:val="subscript"/>
        </w:rPr>
        <w:t>D</w:t>
      </w:r>
      <w:r>
        <w:rPr>
          <w:b w:val="0"/>
          <w:bCs w:val="0"/>
          <w:i w:val="0"/>
          <w:iCs/>
          <w:sz w:val="16"/>
          <w:szCs w:val="16"/>
        </w:rPr>
        <w:t xml:space="preserve"> coefficient as a function of the Reynolds number for the LK1d7 nozzle.</w:t>
      </w:r>
    </w:p>
    <w:p>
      <w:pPr>
        <w:pStyle w:val="5"/>
        <w:jc w:val="both"/>
        <w:rPr>
          <w:b w:val="0"/>
          <w:bCs w:val="0"/>
          <w:i w:val="0"/>
          <w:iCs/>
          <w:sz w:val="16"/>
          <w:szCs w:val="16"/>
        </w:rPr>
      </w:pPr>
    </w:p>
    <w:p>
      <w:pPr>
        <w:pStyle w:val="5"/>
        <w:jc w:val="both"/>
        <w:rPr>
          <w:rFonts w:hint="default" w:cs="Times New Roman"/>
          <w:b w:val="0"/>
          <w:bCs w:val="0"/>
          <w:i w:val="0"/>
          <w:iCs/>
          <w:sz w:val="20"/>
          <w:szCs w:val="20"/>
        </w:rPr>
      </w:pPr>
      <w:r>
        <w:rPr>
          <w:b w:val="0"/>
          <w:bCs w:val="0"/>
          <w:i w:val="0"/>
          <w:iCs/>
          <w:sz w:val="20"/>
          <w:szCs w:val="20"/>
        </w:rPr>
        <w:t>The deviation between the experimental data and the simulation results varies between 0.36 and 0.46 %, which is very good as numerical simulations go. The best results were obtained using the quadratic k-</w:t>
      </w:r>
      <w:r>
        <w:rPr>
          <w:rFonts w:hint="default" w:ascii="Arial" w:hAnsi="Arial" w:cs="Arial"/>
          <w:b w:val="0"/>
          <w:bCs w:val="0"/>
          <w:i w:val="0"/>
          <w:iCs/>
          <w:sz w:val="20"/>
          <w:szCs w:val="20"/>
        </w:rPr>
        <w:t xml:space="preserve">ω </w:t>
      </w:r>
      <w:r>
        <w:rPr>
          <w:rFonts w:hint="default" w:cs="Times New Roman"/>
          <w:b w:val="0"/>
          <w:bCs w:val="0"/>
          <w:i w:val="0"/>
          <w:iCs/>
          <w:sz w:val="20"/>
          <w:szCs w:val="20"/>
        </w:rPr>
        <w:t>turbulence model, with a deviation of almost constant 0.4 %. The laminar case and the linear turbulence model faired somewhat worse, as they do not correctly reproduce the character of the C</w:t>
      </w:r>
      <w:r>
        <w:rPr>
          <w:rFonts w:hint="default" w:cs="Times New Roman"/>
          <w:b w:val="0"/>
          <w:bCs w:val="0"/>
          <w:i w:val="0"/>
          <w:iCs/>
          <w:sz w:val="20"/>
          <w:szCs w:val="20"/>
          <w:vertAlign w:val="subscript"/>
        </w:rPr>
        <w:t>D</w:t>
      </w:r>
      <w:r>
        <w:rPr>
          <w:rFonts w:hint="default" w:cs="Times New Roman"/>
          <w:b w:val="0"/>
          <w:bCs w:val="0"/>
          <w:i w:val="0"/>
          <w:iCs/>
          <w:sz w:val="20"/>
          <w:szCs w:val="20"/>
        </w:rPr>
        <w:t xml:space="preserve"> curve. They all indicate transition at Reynolds numbers larger than 10</w:t>
      </w:r>
      <w:r>
        <w:rPr>
          <w:rFonts w:hint="default" w:cs="Times New Roman"/>
          <w:b w:val="0"/>
          <w:bCs w:val="0"/>
          <w:i w:val="0"/>
          <w:iCs/>
          <w:sz w:val="20"/>
          <w:szCs w:val="20"/>
          <w:vertAlign w:val="superscript"/>
        </w:rPr>
        <w:t>6</w:t>
      </w:r>
      <w:r>
        <w:rPr>
          <w:rFonts w:hint="default" w:cs="Times New Roman"/>
          <w:b w:val="0"/>
          <w:bCs w:val="0"/>
          <w:i w:val="0"/>
          <w:iCs/>
          <w:sz w:val="20"/>
          <w:szCs w:val="20"/>
        </w:rPr>
        <w:t xml:space="preserve"> which is surprising in the case of the laminar and linear flow computations. In the case of the LK2d7 nozzle, shown in Figure 10, the results were equally good, with satisfactory agreement with the experimental data.</w:t>
      </w:r>
    </w:p>
    <w:p>
      <w:pPr>
        <w:pStyle w:val="5"/>
        <w:jc w:val="both"/>
        <w:rPr>
          <w:rFonts w:hint="default" w:cs="Times New Roman"/>
          <w:b w:val="0"/>
          <w:bCs w:val="0"/>
          <w:i w:val="0"/>
          <w:iCs/>
          <w:sz w:val="20"/>
          <w:szCs w:val="20"/>
        </w:rPr>
      </w:pPr>
    </w:p>
    <w:p>
      <w:pPr>
        <w:pStyle w:val="5"/>
        <w:jc w:val="both"/>
        <w:rPr>
          <w:rFonts w:hint="default" w:cs="Times New Roman"/>
          <w:b w:val="0"/>
          <w:bCs w:val="0"/>
          <w:i w:val="0"/>
          <w:iCs/>
          <w:sz w:val="20"/>
          <w:szCs w:val="20"/>
        </w:rPr>
      </w:pPr>
      <w:r>
        <w:rPr>
          <w:rFonts w:ascii="Times New Roman" w:hAnsi="Times New Roman" w:eastAsia="Times New Roman" w:cs="Times New Roman"/>
          <w:sz w:val="20"/>
          <w:lang w:val="en-US" w:eastAsia="zh-CN" w:bidi="ar-SA"/>
        </w:rPr>
        <w:pict>
          <v:shape id="Picture Frame 1047" o:spid="_x0000_s1045" type="#_x0000_t75" style="height:149.8pt;width:231.8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pStyle w:val="5"/>
        <w:jc w:val="both"/>
        <w:rPr>
          <w:i/>
        </w:rPr>
      </w:pPr>
    </w:p>
    <w:p>
      <w:pPr>
        <w:pStyle w:val="5"/>
        <w:jc w:val="both"/>
        <w:rPr>
          <w:b w:val="0"/>
          <w:bCs w:val="0"/>
          <w:i w:val="0"/>
          <w:iCs/>
          <w:sz w:val="16"/>
          <w:szCs w:val="16"/>
        </w:rPr>
      </w:pPr>
      <w:r>
        <w:rPr>
          <w:b/>
          <w:bCs/>
          <w:i w:val="0"/>
          <w:iCs/>
          <w:sz w:val="16"/>
          <w:szCs w:val="16"/>
        </w:rPr>
        <w:t>Figure 10:</w:t>
      </w:r>
      <w:r>
        <w:rPr>
          <w:b w:val="0"/>
          <w:bCs w:val="0"/>
          <w:i w:val="0"/>
          <w:iCs/>
          <w:sz w:val="16"/>
          <w:szCs w:val="16"/>
        </w:rPr>
        <w:t xml:space="preserve"> Comparison of numerical and experimental results for the C</w:t>
      </w:r>
      <w:r>
        <w:rPr>
          <w:b w:val="0"/>
          <w:bCs w:val="0"/>
          <w:i w:val="0"/>
          <w:iCs/>
          <w:sz w:val="16"/>
          <w:szCs w:val="16"/>
          <w:vertAlign w:val="subscript"/>
        </w:rPr>
        <w:t>D</w:t>
      </w:r>
      <w:r>
        <w:rPr>
          <w:b w:val="0"/>
          <w:bCs w:val="0"/>
          <w:i w:val="0"/>
          <w:iCs/>
          <w:sz w:val="16"/>
          <w:szCs w:val="16"/>
        </w:rPr>
        <w:t xml:space="preserve"> coefficient as a function of the Reynolds number for the LK2d7 nozzle.</w:t>
      </w:r>
    </w:p>
    <w:p>
      <w:pPr>
        <w:pStyle w:val="5"/>
        <w:jc w:val="both"/>
        <w:rPr>
          <w:rFonts w:hint="default" w:cs="Times New Roman"/>
          <w:b w:val="0"/>
          <w:bCs w:val="0"/>
          <w:i w:val="0"/>
          <w:iCs/>
          <w:sz w:val="20"/>
          <w:szCs w:val="20"/>
        </w:rPr>
      </w:pPr>
    </w:p>
    <w:p>
      <w:pPr>
        <w:pStyle w:val="5"/>
        <w:jc w:val="both"/>
        <w:rPr>
          <w:rFonts w:hint="default" w:cs="Times New Roman"/>
          <w:b w:val="0"/>
          <w:bCs w:val="0"/>
          <w:i w:val="0"/>
          <w:iCs/>
          <w:sz w:val="20"/>
          <w:szCs w:val="20"/>
        </w:rPr>
      </w:pPr>
      <w:r>
        <w:rPr>
          <w:rFonts w:hint="default" w:cs="Times New Roman"/>
          <w:b w:val="0"/>
          <w:bCs w:val="0"/>
          <w:i w:val="0"/>
          <w:iCs/>
          <w:sz w:val="20"/>
          <w:szCs w:val="20"/>
        </w:rPr>
        <w:t>Here, excluding the linear k-</w:t>
      </w:r>
      <w:r>
        <w:rPr>
          <w:rFonts w:hint="default" w:ascii="Arial" w:hAnsi="Arial" w:cs="Arial"/>
          <w:b w:val="0"/>
          <w:bCs w:val="0"/>
          <w:i w:val="0"/>
          <w:iCs/>
          <w:sz w:val="20"/>
          <w:szCs w:val="20"/>
        </w:rPr>
        <w:t xml:space="preserve">ω </w:t>
      </w:r>
      <w:r>
        <w:rPr>
          <w:rFonts w:hint="default" w:cs="Times New Roman"/>
          <w:b w:val="0"/>
          <w:bCs w:val="0"/>
          <w:i w:val="0"/>
          <w:iCs/>
          <w:sz w:val="20"/>
          <w:szCs w:val="20"/>
        </w:rPr>
        <w:t>model, the deviation from the experimental data was at most 0.2 %. The reason for the bad performance of the linear turbulence model is not known.</w:t>
      </w:r>
    </w:p>
    <w:p>
      <w:pPr>
        <w:pStyle w:val="5"/>
        <w:jc w:val="both"/>
        <w:rPr>
          <w:rFonts w:hint="default" w:cs="Times New Roman"/>
          <w:b w:val="0"/>
          <w:bCs w:val="0"/>
          <w:i w:val="0"/>
          <w:iCs/>
          <w:sz w:val="20"/>
          <w:szCs w:val="20"/>
        </w:rPr>
      </w:pPr>
    </w:p>
    <w:p>
      <w:pPr>
        <w:pStyle w:val="5"/>
        <w:jc w:val="both"/>
        <w:rPr>
          <w:rFonts w:hint="default" w:cs="Times New Roman"/>
          <w:b w:val="0"/>
          <w:bCs w:val="0"/>
          <w:i w:val="0"/>
          <w:iCs/>
          <w:sz w:val="20"/>
          <w:szCs w:val="20"/>
        </w:rPr>
      </w:pPr>
      <w:r>
        <w:rPr>
          <w:rFonts w:hint="default" w:cs="Times New Roman"/>
          <w:b w:val="0"/>
          <w:bCs w:val="0"/>
          <w:i w:val="0"/>
          <w:iCs/>
          <w:sz w:val="20"/>
          <w:szCs w:val="20"/>
        </w:rPr>
        <w:t>It is interesting to observe the flow field in both nozzles for different Reynolds numbers. Presently, the flow fields as computed by the Star CCM+ code, are shown for Reynolds numbers of Re = 0.92</w:t>
      </w:r>
      <w:r>
        <w:rPr>
          <w:rFonts w:hint="default" w:ascii="Times New Roman" w:hAnsi="Times New Roman" w:cs="Times New Roman"/>
          <w:b w:val="0"/>
          <w:bCs w:val="0"/>
          <w:i w:val="0"/>
          <w:iCs/>
          <w:sz w:val="20"/>
          <w:szCs w:val="20"/>
        </w:rPr>
        <w:t>·</w:t>
      </w:r>
      <w:r>
        <w:rPr>
          <w:rFonts w:hint="default" w:cs="Times New Roman"/>
          <w:b w:val="0"/>
          <w:bCs w:val="0"/>
          <w:i w:val="0"/>
          <w:iCs/>
          <w:sz w:val="20"/>
          <w:szCs w:val="20"/>
        </w:rPr>
        <w:t>10</w:t>
      </w:r>
      <w:r>
        <w:rPr>
          <w:rFonts w:hint="default" w:cs="Times New Roman"/>
          <w:b w:val="0"/>
          <w:bCs w:val="0"/>
          <w:i w:val="0"/>
          <w:iCs/>
          <w:sz w:val="20"/>
          <w:szCs w:val="20"/>
          <w:vertAlign w:val="superscript"/>
        </w:rPr>
        <w:t>6</w:t>
      </w:r>
      <w:r>
        <w:rPr>
          <w:rFonts w:hint="default" w:cs="Times New Roman"/>
          <w:b w:val="0"/>
          <w:bCs w:val="0"/>
          <w:i w:val="0"/>
          <w:iCs/>
          <w:sz w:val="20"/>
          <w:szCs w:val="20"/>
        </w:rPr>
        <w:t xml:space="preserve"> and Re=1.4</w:t>
      </w:r>
      <w:r>
        <w:rPr>
          <w:rFonts w:hint="default" w:ascii="Times New Roman" w:hAnsi="Times New Roman" w:cs="Times New Roman"/>
          <w:b w:val="0"/>
          <w:bCs w:val="0"/>
          <w:i w:val="0"/>
          <w:iCs/>
          <w:sz w:val="20"/>
          <w:szCs w:val="20"/>
        </w:rPr>
        <w:t>·</w:t>
      </w:r>
      <w:r>
        <w:rPr>
          <w:rFonts w:hint="default" w:cs="Times New Roman"/>
          <w:b w:val="0"/>
          <w:bCs w:val="0"/>
          <w:i w:val="0"/>
          <w:iCs/>
          <w:sz w:val="20"/>
          <w:szCs w:val="20"/>
        </w:rPr>
        <w:t>10</w:t>
      </w:r>
      <w:r>
        <w:rPr>
          <w:rFonts w:hint="default" w:cs="Times New Roman"/>
          <w:b w:val="0"/>
          <w:bCs w:val="0"/>
          <w:i w:val="0"/>
          <w:iCs/>
          <w:sz w:val="20"/>
          <w:szCs w:val="20"/>
          <w:vertAlign w:val="superscript"/>
        </w:rPr>
        <w:t>6</w:t>
      </w:r>
      <w:r>
        <w:rPr>
          <w:rFonts w:hint="default" w:cs="Times New Roman"/>
          <w:b w:val="0"/>
          <w:bCs w:val="0"/>
          <w:i w:val="0"/>
          <w:iCs/>
          <w:sz w:val="20"/>
          <w:szCs w:val="20"/>
        </w:rPr>
        <w:t>. In the first case, the flow in the throat should be laminar, as there was no apparent transition effecting the C</w:t>
      </w:r>
      <w:r>
        <w:rPr>
          <w:rFonts w:hint="default" w:cs="Times New Roman"/>
          <w:b w:val="0"/>
          <w:bCs w:val="0"/>
          <w:i w:val="0"/>
          <w:iCs/>
          <w:sz w:val="20"/>
          <w:szCs w:val="20"/>
          <w:vertAlign w:val="subscript"/>
        </w:rPr>
        <w:t>D</w:t>
      </w:r>
      <w:r>
        <w:rPr>
          <w:rFonts w:hint="default" w:cs="Times New Roman"/>
          <w:b w:val="0"/>
          <w:bCs w:val="0"/>
          <w:i w:val="0"/>
          <w:iCs/>
          <w:sz w:val="20"/>
          <w:szCs w:val="20"/>
        </w:rPr>
        <w:t xml:space="preserve"> coefficient. The trasition will occure in the lambda shock downstream of the throat.</w:t>
      </w:r>
    </w:p>
    <w:p>
      <w:pPr>
        <w:pStyle w:val="5"/>
        <w:jc w:val="both"/>
        <w:rPr>
          <w:rFonts w:hint="default" w:cs="Times New Roman"/>
          <w:b w:val="0"/>
          <w:bCs w:val="0"/>
          <w:i w:val="0"/>
          <w:iCs/>
          <w:sz w:val="20"/>
          <w:szCs w:val="20"/>
        </w:rPr>
      </w:pPr>
    </w:p>
    <w:p>
      <w:pPr>
        <w:pStyle w:val="5"/>
        <w:jc w:val="both"/>
        <w:rPr>
          <w:rFonts w:hint="default" w:cs="Times New Roman"/>
          <w:b w:val="0"/>
          <w:bCs w:val="0"/>
          <w:i w:val="0"/>
          <w:iCs/>
          <w:sz w:val="20"/>
          <w:szCs w:val="20"/>
        </w:rPr>
      </w:pPr>
      <w:r>
        <w:rPr>
          <w:rFonts w:ascii="Times New Roman" w:hAnsi="Times New Roman" w:eastAsia="Times New Roman" w:cs="Times New Roman"/>
          <w:sz w:val="20"/>
          <w:lang w:val="en-US" w:eastAsia="zh-CN" w:bidi="ar-SA"/>
        </w:rPr>
        <w:pict>
          <v:shape id="Picture Frame 1048" o:spid="_x0000_s1046" type="#_x0000_t75" style="height:88.9pt;width:238.9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pStyle w:val="5"/>
        <w:jc w:val="both"/>
        <w:rPr>
          <w:i/>
        </w:rPr>
      </w:pPr>
    </w:p>
    <w:p>
      <w:pPr>
        <w:pStyle w:val="5"/>
        <w:jc w:val="both"/>
        <w:rPr>
          <w:rFonts w:hint="default" w:cs="Times New Roman"/>
          <w:b w:val="0"/>
          <w:bCs w:val="0"/>
          <w:i w:val="0"/>
          <w:iCs/>
          <w:sz w:val="16"/>
          <w:szCs w:val="16"/>
        </w:rPr>
      </w:pPr>
      <w:r>
        <w:rPr>
          <w:b/>
          <w:bCs/>
          <w:i w:val="0"/>
          <w:iCs/>
          <w:sz w:val="16"/>
          <w:szCs w:val="16"/>
        </w:rPr>
        <w:t xml:space="preserve">Figure 11: </w:t>
      </w:r>
      <w:r>
        <w:rPr>
          <w:b w:val="0"/>
          <w:bCs w:val="0"/>
          <w:i w:val="0"/>
          <w:iCs/>
          <w:sz w:val="16"/>
          <w:szCs w:val="16"/>
        </w:rPr>
        <w:t>Mach number contours for Re = 0.92</w:t>
      </w:r>
      <w:r>
        <w:rPr>
          <w:rFonts w:hint="default" w:ascii="Times New Roman" w:hAnsi="Times New Roman" w:cs="Times New Roman"/>
          <w:b w:val="0"/>
          <w:bCs w:val="0"/>
          <w:i w:val="0"/>
          <w:iCs/>
          <w:sz w:val="16"/>
          <w:szCs w:val="16"/>
        </w:rPr>
        <w:t>·</w:t>
      </w:r>
      <w:r>
        <w:rPr>
          <w:rFonts w:hint="default" w:cs="Times New Roman"/>
          <w:b w:val="0"/>
          <w:bCs w:val="0"/>
          <w:i w:val="0"/>
          <w:iCs/>
          <w:sz w:val="16"/>
          <w:szCs w:val="16"/>
        </w:rPr>
        <w:t>10</w:t>
      </w:r>
      <w:r>
        <w:rPr>
          <w:rFonts w:hint="default" w:cs="Times New Roman"/>
          <w:b w:val="0"/>
          <w:bCs w:val="0"/>
          <w:i w:val="0"/>
          <w:iCs/>
          <w:sz w:val="16"/>
          <w:szCs w:val="16"/>
          <w:vertAlign w:val="superscript"/>
        </w:rPr>
        <w:t>6</w:t>
      </w:r>
      <w:r>
        <w:rPr>
          <w:rFonts w:hint="default" w:cs="Times New Roman"/>
          <w:b w:val="0"/>
          <w:bCs w:val="0"/>
          <w:i w:val="0"/>
          <w:iCs/>
          <w:sz w:val="16"/>
          <w:szCs w:val="16"/>
        </w:rPr>
        <w:t xml:space="preserve"> and p</w:t>
      </w:r>
      <w:r>
        <w:rPr>
          <w:rFonts w:hint="default" w:cs="Times New Roman"/>
          <w:b w:val="0"/>
          <w:bCs w:val="0"/>
          <w:i w:val="0"/>
          <w:iCs/>
          <w:sz w:val="16"/>
          <w:szCs w:val="16"/>
          <w:vertAlign w:val="subscript"/>
        </w:rPr>
        <w:t>out</w:t>
      </w:r>
      <w:r>
        <w:rPr>
          <w:rFonts w:hint="default" w:cs="Times New Roman"/>
          <w:b w:val="0"/>
          <w:bCs w:val="0"/>
          <w:i w:val="0"/>
          <w:iCs/>
          <w:sz w:val="16"/>
          <w:szCs w:val="16"/>
        </w:rPr>
        <w:t>/P</w:t>
      </w:r>
      <w:r>
        <w:rPr>
          <w:rFonts w:hint="default" w:cs="Times New Roman"/>
          <w:b w:val="0"/>
          <w:bCs w:val="0"/>
          <w:i w:val="0"/>
          <w:iCs/>
          <w:sz w:val="16"/>
          <w:szCs w:val="16"/>
          <w:vertAlign w:val="subscript"/>
        </w:rPr>
        <w:t>0</w:t>
      </w:r>
      <w:r>
        <w:rPr>
          <w:rFonts w:hint="default" w:cs="Times New Roman"/>
          <w:b w:val="0"/>
          <w:bCs w:val="0"/>
          <w:i w:val="0"/>
          <w:iCs/>
          <w:sz w:val="16"/>
          <w:szCs w:val="16"/>
        </w:rPr>
        <w:t xml:space="preserve"> = 0.69. Left: LK1d7; Right: LK2d7</w:t>
      </w:r>
    </w:p>
    <w:p>
      <w:pPr>
        <w:pStyle w:val="5"/>
        <w:jc w:val="both"/>
        <w:rPr>
          <w:rFonts w:hint="default" w:cs="Times New Roman"/>
          <w:b w:val="0"/>
          <w:bCs w:val="0"/>
          <w:i w:val="0"/>
          <w:iCs/>
          <w:sz w:val="20"/>
          <w:szCs w:val="20"/>
        </w:rPr>
      </w:pPr>
    </w:p>
    <w:p>
      <w:pPr>
        <w:pStyle w:val="5"/>
        <w:jc w:val="both"/>
        <w:rPr>
          <w:rFonts w:hint="default" w:cs="Times New Roman"/>
          <w:b w:val="0"/>
          <w:bCs w:val="0"/>
          <w:i w:val="0"/>
          <w:iCs/>
          <w:sz w:val="20"/>
          <w:szCs w:val="20"/>
        </w:rPr>
      </w:pPr>
      <w:r>
        <w:rPr>
          <w:rFonts w:hint="default" w:cs="Times New Roman"/>
          <w:b w:val="0"/>
          <w:bCs w:val="0"/>
          <w:i w:val="0"/>
          <w:iCs/>
          <w:sz w:val="20"/>
          <w:szCs w:val="20"/>
        </w:rPr>
        <w:t>The LK1d7 nozzle displays a strong lambda shock that couses massive flow separation. The AGS-criterium predicts at this location a transition, the intermittency factor strangely remains close to zero, failing to indicate transition. In the LK2d7, there is a weak shock in the throat, still causing flow separation; this, however, will not result in transition.</w:t>
      </w:r>
    </w:p>
    <w:p>
      <w:pPr>
        <w:pStyle w:val="5"/>
        <w:jc w:val="both"/>
        <w:rPr>
          <w:rFonts w:hint="default" w:cs="Times New Roman"/>
          <w:b w:val="0"/>
          <w:bCs w:val="0"/>
          <w:i w:val="0"/>
          <w:iCs/>
          <w:sz w:val="20"/>
          <w:szCs w:val="20"/>
        </w:rPr>
      </w:pPr>
    </w:p>
    <w:p>
      <w:pPr>
        <w:pStyle w:val="5"/>
        <w:jc w:val="both"/>
      </w:pPr>
      <w:r>
        <w:rPr>
          <w:rFonts w:ascii="Times New Roman" w:hAnsi="Times New Roman" w:eastAsia="Times New Roman" w:cs="Times New Roman"/>
          <w:sz w:val="20"/>
          <w:lang w:val="en-US" w:eastAsia="zh-CN" w:bidi="ar-SA"/>
        </w:rPr>
        <w:pict>
          <v:shape id="Picture Frame 1049" o:spid="_x0000_s1047" type="#_x0000_t75" style="height:97.9pt;width:237.4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pStyle w:val="5"/>
        <w:jc w:val="both"/>
      </w:pPr>
    </w:p>
    <w:p>
      <w:pPr>
        <w:pStyle w:val="5"/>
        <w:jc w:val="both"/>
        <w:rPr>
          <w:rFonts w:hint="default" w:cs="Times New Roman"/>
          <w:b w:val="0"/>
          <w:bCs w:val="0"/>
          <w:i w:val="0"/>
          <w:iCs/>
          <w:sz w:val="16"/>
          <w:szCs w:val="16"/>
        </w:rPr>
      </w:pPr>
      <w:r>
        <w:rPr>
          <w:b/>
          <w:bCs/>
          <w:i w:val="0"/>
          <w:iCs/>
          <w:sz w:val="16"/>
          <w:szCs w:val="16"/>
        </w:rPr>
        <w:t xml:space="preserve">Figure 12: </w:t>
      </w:r>
      <w:r>
        <w:rPr>
          <w:b w:val="0"/>
          <w:bCs w:val="0"/>
          <w:i w:val="0"/>
          <w:iCs/>
          <w:sz w:val="16"/>
          <w:szCs w:val="16"/>
        </w:rPr>
        <w:t>Mach number contours for Re = 1.4</w:t>
      </w:r>
      <w:r>
        <w:rPr>
          <w:rFonts w:hint="default" w:ascii="Times New Roman" w:hAnsi="Times New Roman" w:cs="Times New Roman"/>
          <w:b w:val="0"/>
          <w:bCs w:val="0"/>
          <w:i w:val="0"/>
          <w:iCs/>
          <w:sz w:val="16"/>
          <w:szCs w:val="16"/>
        </w:rPr>
        <w:t>·</w:t>
      </w:r>
      <w:r>
        <w:rPr>
          <w:rFonts w:hint="default" w:cs="Times New Roman"/>
          <w:b w:val="0"/>
          <w:bCs w:val="0"/>
          <w:i w:val="0"/>
          <w:iCs/>
          <w:sz w:val="16"/>
          <w:szCs w:val="16"/>
        </w:rPr>
        <w:t>10</w:t>
      </w:r>
      <w:r>
        <w:rPr>
          <w:rFonts w:hint="default" w:cs="Times New Roman"/>
          <w:b w:val="0"/>
          <w:bCs w:val="0"/>
          <w:i w:val="0"/>
          <w:iCs/>
          <w:sz w:val="16"/>
          <w:szCs w:val="16"/>
          <w:vertAlign w:val="superscript"/>
        </w:rPr>
        <w:t>6</w:t>
      </w:r>
      <w:r>
        <w:rPr>
          <w:rFonts w:hint="default" w:cs="Times New Roman"/>
          <w:b w:val="0"/>
          <w:bCs w:val="0"/>
          <w:i w:val="0"/>
          <w:iCs/>
          <w:sz w:val="16"/>
          <w:szCs w:val="16"/>
        </w:rPr>
        <w:t xml:space="preserve"> and p</w:t>
      </w:r>
      <w:r>
        <w:rPr>
          <w:rFonts w:hint="default" w:cs="Times New Roman"/>
          <w:b w:val="0"/>
          <w:bCs w:val="0"/>
          <w:i w:val="0"/>
          <w:iCs/>
          <w:sz w:val="16"/>
          <w:szCs w:val="16"/>
          <w:vertAlign w:val="subscript"/>
        </w:rPr>
        <w:t>out</w:t>
      </w:r>
      <w:r>
        <w:rPr>
          <w:rFonts w:hint="default" w:cs="Times New Roman"/>
          <w:b w:val="0"/>
          <w:bCs w:val="0"/>
          <w:i w:val="0"/>
          <w:iCs/>
          <w:sz w:val="16"/>
          <w:szCs w:val="16"/>
        </w:rPr>
        <w:t>/P</w:t>
      </w:r>
      <w:r>
        <w:rPr>
          <w:rFonts w:hint="default" w:cs="Times New Roman"/>
          <w:b w:val="0"/>
          <w:bCs w:val="0"/>
          <w:i w:val="0"/>
          <w:iCs/>
          <w:sz w:val="16"/>
          <w:szCs w:val="16"/>
          <w:vertAlign w:val="subscript"/>
        </w:rPr>
        <w:t>0</w:t>
      </w:r>
      <w:r>
        <w:rPr>
          <w:rFonts w:hint="default" w:cs="Times New Roman"/>
          <w:b w:val="0"/>
          <w:bCs w:val="0"/>
          <w:i w:val="0"/>
          <w:iCs/>
          <w:sz w:val="16"/>
          <w:szCs w:val="16"/>
        </w:rPr>
        <w:t xml:space="preserve"> = 0.49. Left: LK1d7; Right: LK2d7</w:t>
      </w:r>
    </w:p>
    <w:p>
      <w:pPr>
        <w:pStyle w:val="5"/>
        <w:jc w:val="both"/>
        <w:rPr>
          <w:rFonts w:hint="default"/>
        </w:rPr>
      </w:pPr>
    </w:p>
    <w:p>
      <w:pPr>
        <w:pStyle w:val="5"/>
        <w:jc w:val="both"/>
        <w:rPr>
          <w:i w:val="0"/>
          <w:iCs/>
        </w:rPr>
      </w:pPr>
      <w:r>
        <w:rPr>
          <w:i w:val="0"/>
          <w:iCs/>
        </w:rPr>
        <w:t>In the case of the higher Mach number, the shocks are stronger and located further downstream. In this case, both methods for prediction of the transition failed.</w:t>
      </w:r>
    </w:p>
    <w:p>
      <w:pPr>
        <w:pStyle w:val="5"/>
        <w:jc w:val="both"/>
        <w:rPr>
          <w:i w:val="0"/>
          <w:iCs/>
        </w:rPr>
      </w:pPr>
    </w:p>
    <w:p>
      <w:pPr>
        <w:pStyle w:val="2"/>
      </w:pPr>
      <w:r>
        <w:t>7. Conclusion</w:t>
      </w:r>
    </w:p>
    <w:p>
      <w:pPr>
        <w:pStyle w:val="5"/>
      </w:pPr>
    </w:p>
    <w:p>
      <w:pPr>
        <w:pStyle w:val="5"/>
        <w:rPr>
          <w:rFonts w:hint="default" w:cs="Times New Roman"/>
        </w:rPr>
      </w:pPr>
      <w:r>
        <w:t>In the present work, investigations were carried out with various critical flow Venturi nozzles at high Reynolds numbers using mostly natural gas as working fluid. First, a series of experiments were performed at the German National High Pressure Natural Gas Standard pigsar, measuring the mass flows and the corresponding C</w:t>
      </w:r>
      <w:r>
        <w:rPr>
          <w:vertAlign w:val="subscript"/>
        </w:rPr>
        <w:t>D</w:t>
      </w:r>
      <w:r>
        <w:t xml:space="preserve"> coefficients at Reynolds numbers between 0.9</w:t>
      </w:r>
      <w:r>
        <w:rPr>
          <w:rFonts w:hint="default" w:ascii="Times New Roman" w:hAnsi="Times New Roman" w:cs="Times New Roman"/>
        </w:rPr>
        <w:t>·</w:t>
      </w:r>
      <w:r>
        <w:rPr>
          <w:rFonts w:hint="default" w:cs="Times New Roman"/>
        </w:rPr>
        <w:t>10</w:t>
      </w:r>
      <w:r>
        <w:rPr>
          <w:rFonts w:hint="default" w:cs="Times New Roman"/>
          <w:vertAlign w:val="superscript"/>
        </w:rPr>
        <w:t>6</w:t>
      </w:r>
      <w:r>
        <w:rPr>
          <w:rFonts w:hint="default" w:cs="Times New Roman"/>
        </w:rPr>
        <w:t xml:space="preserve"> and 5.5</w:t>
      </w:r>
      <w:r>
        <w:rPr>
          <w:rFonts w:hint="default" w:ascii="Times New Roman" w:hAnsi="Times New Roman" w:cs="Times New Roman"/>
        </w:rPr>
        <w:t>·</w:t>
      </w:r>
      <w:r>
        <w:rPr>
          <w:rFonts w:hint="default" w:cs="Times New Roman"/>
        </w:rPr>
        <w:t>10</w:t>
      </w:r>
      <w:r>
        <w:rPr>
          <w:rFonts w:hint="default" w:cs="Times New Roman"/>
          <w:vertAlign w:val="superscript"/>
        </w:rPr>
        <w:t>6</w:t>
      </w:r>
      <w:r>
        <w:rPr>
          <w:rFonts w:hint="default" w:cs="Times New Roman"/>
        </w:rPr>
        <w:t>. The onset of the transition in the throat from laminar to turbulent boundary layer was strongly dependent on the size and shape of the nozzles. Subsequently, two non-standard nozzles were investigated at the PTB, and the theoretical curves showing C</w:t>
      </w:r>
      <w:r>
        <w:rPr>
          <w:rFonts w:hint="default" w:cs="Times New Roman"/>
          <w:vertAlign w:val="subscript"/>
        </w:rPr>
        <w:t>D</w:t>
      </w:r>
      <w:r>
        <w:rPr>
          <w:rFonts w:hint="default" w:cs="Times New Roman"/>
        </w:rPr>
        <w:t xml:space="preserve"> as a function of the Reynolds number were determined. The corresponding flow fields were finally numerically simulated in the hope to explain some of the phenomena found by the experiments.</w:t>
      </w:r>
    </w:p>
    <w:p>
      <w:pPr>
        <w:pStyle w:val="5"/>
        <w:rPr>
          <w:rFonts w:hint="default" w:cs="Times New Roman"/>
        </w:rPr>
      </w:pPr>
    </w:p>
    <w:p>
      <w:pPr>
        <w:pStyle w:val="5"/>
        <w:rPr>
          <w:rFonts w:hint="default" w:cs="Times New Roman"/>
        </w:rPr>
      </w:pPr>
      <w:r>
        <w:rPr>
          <w:rFonts w:hint="default" w:cs="Times New Roman"/>
        </w:rPr>
        <w:t>The complex quadratic k-</w:t>
      </w:r>
      <w:r>
        <w:rPr>
          <w:rFonts w:hint="default" w:ascii="Arial" w:hAnsi="Arial" w:cs="Arial"/>
        </w:rPr>
        <w:t xml:space="preserve">ω </w:t>
      </w:r>
      <w:r>
        <w:rPr>
          <w:rFonts w:hint="default" w:cs="Times New Roman"/>
        </w:rPr>
        <w:t>turbulence model, as implemeted in the code ACHIEVE by the present authors performed well within the scope of numerical approximations, given the simplifying boundary conditions imposed on it.</w:t>
      </w:r>
    </w:p>
    <w:p>
      <w:pPr>
        <w:pStyle w:val="5"/>
        <w:rPr>
          <w:rFonts w:hint="default" w:cs="Times New Roman"/>
        </w:rPr>
      </w:pPr>
    </w:p>
    <w:p>
      <w:pPr>
        <w:pStyle w:val="5"/>
        <w:rPr>
          <w:rFonts w:hint="default" w:ascii="Times New Roman" w:hAnsi="Times New Roman" w:cs="Times New Roman"/>
        </w:rPr>
      </w:pPr>
      <w:r>
        <w:rPr>
          <w:rFonts w:hint="default" w:cs="Times New Roman"/>
        </w:rPr>
        <w:t xml:space="preserve">Both methods for predicting the transition location, the simple bypass transition model by Abu-Ghanam and Shaw [3], and the much more involved intermittency </w:t>
      </w:r>
      <w:r>
        <w:rPr>
          <w:rFonts w:hint="default" w:ascii="Times New Roman" w:hAnsi="Times New Roman" w:cs="Times New Roman"/>
        </w:rPr>
        <w:t>γ</w:t>
      </w:r>
      <w:r>
        <w:rPr>
          <w:rFonts w:hint="default" w:cs="Times New Roman"/>
        </w:rPr>
        <w:t xml:space="preserve"> - momentum loss thickness Reynolds number Re</w:t>
      </w:r>
      <w:r>
        <w:rPr>
          <w:rFonts w:hint="default" w:ascii="Arial" w:hAnsi="Arial" w:cs="Arial"/>
          <w:vertAlign w:val="subscript"/>
        </w:rPr>
        <w:t>θ</w:t>
      </w:r>
      <w:r>
        <w:rPr>
          <w:rFonts w:hint="default" w:ascii="Arial" w:hAnsi="Arial" w:cs="Arial"/>
        </w:rPr>
        <w:t xml:space="preserve"> </w:t>
      </w:r>
      <w:r>
        <w:rPr>
          <w:rFonts w:hint="default" w:ascii="Times New Roman" w:hAnsi="Times New Roman" w:cs="Times New Roman"/>
        </w:rPr>
        <w:t>performed</w:t>
      </w:r>
      <w:r>
        <w:rPr>
          <w:rFonts w:hint="default" w:cs="Times New Roman"/>
        </w:rPr>
        <w:t xml:space="preserve"> erratically and were unreliable. More work is needed in this area.</w:t>
      </w:r>
    </w:p>
    <w:p>
      <w:pPr>
        <w:pStyle w:val="5"/>
      </w:pPr>
    </w:p>
    <w:p>
      <w:pPr>
        <w:pStyle w:val="2"/>
      </w:pPr>
      <w:r>
        <w:t>References</w:t>
      </w:r>
    </w:p>
    <w:p>
      <w:pPr>
        <w:pStyle w:val="5"/>
      </w:pPr>
    </w:p>
    <w:p>
      <w:pPr>
        <w:pStyle w:val="5"/>
        <w:numPr>
          <w:ilvl w:val="0"/>
          <w:numId w:val="1"/>
        </w:numPr>
        <w:ind w:left="426" w:hanging="426"/>
        <w:rPr>
          <w:sz w:val="20"/>
          <w:szCs w:val="20"/>
        </w:rPr>
      </w:pPr>
      <w:r>
        <w:rPr>
          <w:rFonts w:ascii="Times New Roman" w:hAnsi="Times New Roman" w:eastAsia="Arial" w:cs="Times New Roman"/>
          <w:color w:val="auto"/>
          <w:sz w:val="20"/>
          <w:szCs w:val="20"/>
        </w:rPr>
        <w:t xml:space="preserve">Ishibashi, M., and Funaki, T., </w:t>
      </w:r>
      <w:r>
        <w:rPr>
          <w:rFonts w:hint="default" w:eastAsia="Arial" w:cs="Times New Roman"/>
          <w:color w:val="auto"/>
          <w:sz w:val="20"/>
          <w:szCs w:val="20"/>
        </w:rPr>
        <w:t>“</w:t>
      </w:r>
      <w:r>
        <w:rPr>
          <w:rFonts w:ascii="Times New Roman" w:hAnsi="Times New Roman" w:eastAsia="Arial" w:cs="Times New Roman"/>
          <w:color w:val="auto"/>
          <w:sz w:val="20"/>
          <w:szCs w:val="20"/>
        </w:rPr>
        <w:t>Boundary Layer Transition in High Precision Critical Nozzles of Various Shapes</w:t>
      </w:r>
      <w:r>
        <w:rPr>
          <w:rFonts w:hint="default" w:eastAsia="Arial" w:cs="Times New Roman"/>
          <w:color w:val="auto"/>
          <w:sz w:val="20"/>
          <w:szCs w:val="20"/>
        </w:rPr>
        <w:t>”</w:t>
      </w:r>
      <w:r>
        <w:rPr>
          <w:rFonts w:ascii="Times New Roman" w:hAnsi="Times New Roman" w:eastAsia="Arial" w:cs="Times New Roman"/>
          <w:color w:val="auto"/>
          <w:sz w:val="20"/>
          <w:szCs w:val="20"/>
        </w:rPr>
        <w:t>, Proceedings of the 16th Int. Flow Measurement Conference Flomeko 2013, Paris, 2013.</w:t>
      </w:r>
    </w:p>
    <w:p>
      <w:pPr>
        <w:pStyle w:val="5"/>
        <w:numPr>
          <w:ilvl w:val="0"/>
          <w:numId w:val="1"/>
        </w:numPr>
        <w:ind w:left="426" w:hanging="426"/>
      </w:pPr>
      <w:r>
        <w:t xml:space="preserve">B. Mickan, R. Kramer, D. Dopheide; </w:t>
      </w:r>
      <w:r>
        <w:rPr>
          <w:rFonts w:hint="default"/>
        </w:rPr>
        <w:t>“</w:t>
      </w:r>
      <w:r>
        <w:rPr>
          <w:i w:val="0"/>
          <w:iCs w:val="0"/>
        </w:rPr>
        <w:t>Determination of Discharge Coefficient of Critical Nozzles based on their Geometry and the Theory of Laminar and Turbulent Boundary Layers</w:t>
      </w:r>
      <w:r>
        <w:rPr>
          <w:rFonts w:hint="default"/>
          <w:i w:val="0"/>
          <w:iCs w:val="0"/>
        </w:rPr>
        <w:t>”</w:t>
      </w:r>
      <w:r>
        <w:rPr>
          <w:i w:val="0"/>
          <w:iCs w:val="0"/>
        </w:rPr>
        <w:t>; 6</w:t>
      </w:r>
      <w:r>
        <w:rPr>
          <w:i w:val="0"/>
          <w:iCs w:val="0"/>
          <w:vertAlign w:val="superscript"/>
        </w:rPr>
        <w:t>th</w:t>
      </w:r>
      <w:r>
        <w:rPr>
          <w:i w:val="0"/>
          <w:iCs w:val="0"/>
        </w:rPr>
        <w:t xml:space="preserve"> ISFFM, Queretaro, Mexico, 2006</w:t>
      </w:r>
    </w:p>
    <w:p>
      <w:pPr>
        <w:pStyle w:val="5"/>
        <w:numPr>
          <w:ilvl w:val="0"/>
          <w:numId w:val="1"/>
        </w:numPr>
        <w:ind w:left="426" w:hanging="426"/>
      </w:pPr>
      <w:r>
        <w:rPr>
          <w:rFonts w:ascii="Times New Roman" w:hAnsi="Times New Roman" w:eastAsia="Arial" w:cs="Times New Roman"/>
          <w:color w:val="auto"/>
          <w:sz w:val="20"/>
          <w:szCs w:val="20"/>
        </w:rPr>
        <w:t>Abu-Ghannam, B.J., and Shaw, R., «Natural Transition of Boundary Layers - the Effects of Turbulence, Pressure Gradient and Flow History», IMechE, Vol. 22, No. 5, 1980.</w:t>
      </w:r>
    </w:p>
    <w:p>
      <w:pPr>
        <w:pStyle w:val="5"/>
        <w:numPr>
          <w:ilvl w:val="0"/>
          <w:numId w:val="1"/>
        </w:numPr>
        <w:ind w:left="426" w:hanging="426"/>
      </w:pPr>
      <w:r>
        <w:rPr>
          <w:rFonts w:ascii="Times New Roman" w:hAnsi="Times New Roman" w:eastAsia="Arial" w:cs="Times New Roman"/>
          <w:color w:val="auto"/>
          <w:sz w:val="20"/>
          <w:szCs w:val="20"/>
        </w:rPr>
        <w:t>von Lavante, E., and Mickan, B., "Numerical Simulation of Transitional Effects in Critical Venturi Nozzles", Proceedings of the 13th Int. Flow Measurement Conference Flomeko 2005,Guilin, China, 2005.</w:t>
      </w:r>
    </w:p>
    <w:p>
      <w:pPr>
        <w:pStyle w:val="5"/>
        <w:numPr>
          <w:ilvl w:val="0"/>
          <w:numId w:val="1"/>
        </w:numPr>
        <w:ind w:left="426" w:hanging="426"/>
      </w:pPr>
      <w:r>
        <w:t xml:space="preserve">von Lavante, E., Kaya, H., Winzösch, F. And Brinkhorst, S.,: </w:t>
      </w:r>
      <w:r>
        <w:rPr>
          <w:rFonts w:hint="default"/>
        </w:rPr>
        <w:t>“</w:t>
      </w:r>
      <w:r>
        <w:t>Flow Structure in Critical Flow Venturi Nozzle and its Effect on the Flow Rate</w:t>
      </w:r>
      <w:r>
        <w:rPr>
          <w:rFonts w:hint="default"/>
        </w:rPr>
        <w:t xml:space="preserve">”, Flomeko 2013, Paris, france, 2013. </w:t>
      </w:r>
    </w:p>
    <w:p>
      <w:pPr>
        <w:pStyle w:val="5"/>
        <w:numPr>
          <w:ilvl w:val="0"/>
          <w:numId w:val="1"/>
        </w:numPr>
        <w:ind w:left="426" w:hanging="426"/>
      </w:pPr>
      <w:r>
        <w:rPr>
          <w:rFonts w:hint="default"/>
        </w:rPr>
        <w:t>von Lavante, E. and Yao, J., “Numerical Investigation of Turbulent Swirling Flows in Axisymmetric Internal Flow Configurations”, Journal of Flow Measurement and Instrumentation, Elsevier, Vol. 25, June 2012.</w:t>
      </w:r>
    </w:p>
    <w:p>
      <w:pPr>
        <w:pStyle w:val="5"/>
        <w:numPr>
          <w:ilvl w:val="0"/>
          <w:numId w:val="1"/>
        </w:numPr>
        <w:ind w:left="426" w:hanging="426"/>
        <w:rPr>
          <w:rFonts w:hint="default" w:ascii="Times New Roman" w:hAnsi="Times New Roman" w:eastAsia="Courier New" w:cs="Times New Roman"/>
          <w:sz w:val="20"/>
          <w:szCs w:val="20"/>
        </w:rPr>
      </w:pPr>
      <w:r>
        <w:rPr>
          <w:rFonts w:hint="default" w:ascii="Times New Roman" w:hAnsi="Times New Roman" w:eastAsia="Courier New" w:cs="Times New Roman"/>
          <w:sz w:val="20"/>
          <w:szCs w:val="20"/>
        </w:rPr>
        <w:t>von Lavante, E. and Yao, J., ''Simulation of flow in Exhaust Manifold of a Reciprocating Engine``, AIAA 93-2954, Orlando, FL, July 1993.</w:t>
      </w:r>
    </w:p>
    <w:p>
      <w:pPr>
        <w:pStyle w:val="5"/>
        <w:numPr>
          <w:ilvl w:val="0"/>
          <w:numId w:val="1"/>
        </w:numPr>
        <w:ind w:left="426" w:hanging="426"/>
        <w:rPr>
          <w:rFonts w:hint="default" w:ascii="Times New Roman" w:hAnsi="Times New Roman" w:eastAsia="Courier New" w:cs="Times New Roman"/>
          <w:sz w:val="20"/>
          <w:szCs w:val="20"/>
        </w:rPr>
      </w:pPr>
      <w:r>
        <w:rPr>
          <w:lang w:eastAsia="zh-TW"/>
        </w:rPr>
        <w:t>Mickan, B., Kramer, R., “</w:t>
      </w:r>
      <w:r>
        <w:rPr>
          <w:i w:val="0"/>
          <w:lang w:eastAsia="zh-TW"/>
        </w:rPr>
        <w:t>Experiences with sonic nozzles used for different gases and wide range of pressure and temperature conditions</w:t>
      </w:r>
      <w:r>
        <w:rPr>
          <w:lang w:eastAsia="zh-TW"/>
        </w:rPr>
        <w:t>”,</w:t>
      </w:r>
      <w:r>
        <w:t xml:space="preserve"> </w:t>
      </w:r>
      <w:r>
        <w:rPr>
          <w:lang w:eastAsia="zh-TW"/>
        </w:rPr>
        <w:t>7</w:t>
      </w:r>
      <w:r>
        <w:rPr>
          <w:vertAlign w:val="superscript"/>
          <w:lang w:eastAsia="zh-TW"/>
        </w:rPr>
        <w:t>th</w:t>
      </w:r>
      <w:r>
        <w:rPr>
          <w:lang w:eastAsia="zh-TW"/>
        </w:rPr>
        <w:t xml:space="preserve"> ISFFM</w:t>
      </w:r>
      <w:r>
        <w:t>, Anchorage, Alaska, 2009</w:t>
      </w:r>
      <w:r>
        <w:rPr>
          <w:lang/>
        </w:rPr>
        <w:t>.</w:t>
      </w:r>
    </w:p>
    <w:p>
      <w:pPr>
        <w:pStyle w:val="5"/>
        <w:numPr>
          <w:numId w:val="0"/>
        </w:numPr>
        <w:ind w:leftChars="0"/>
      </w:pPr>
    </w:p>
    <w:p>
      <w:pPr>
        <w:pStyle w:val="5"/>
        <w:numPr>
          <w:numId w:val="0"/>
        </w:numPr>
        <w:ind w:leftChars="0"/>
      </w:pPr>
    </w:p>
    <w:p>
      <w:pPr>
        <w:pStyle w:val="5"/>
        <w:ind w:left="426"/>
      </w:pPr>
      <w:r>
        <w:br/>
      </w:r>
    </w:p>
    <w:p>
      <w:pPr>
        <w:pStyle w:val="5"/>
      </w:pPr>
    </w:p>
    <w:sectPr>
      <w:footerReference r:id="rId5" w:type="default"/>
      <w:type w:val="continuous"/>
      <w:pgSz w:w="11906" w:h="16838"/>
      <w:pgMar w:top="1134" w:right="1077" w:bottom="1134" w:left="1077" w:header="720" w:footer="720" w:gutter="0"/>
      <w:cols w:space="680" w:num="2"/>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Tahoma">
    <w:panose1 w:val="020B0604030504040204"/>
    <w:charset w:val="01"/>
    <w:family w:val="auto"/>
    <w:pitch w:val="default"/>
    <w:sig w:usb0="E1002EFF" w:usb1="C000605B" w:usb2="00000029" w:usb3="00000000" w:csb0="200101FF" w:csb1="20280000"/>
  </w:font>
  <w:font w:name="Cambria">
    <w:panose1 w:val="02040503050406030204"/>
    <w:charset w:val="00"/>
    <w:family w:val="auto"/>
    <w:pitch w:val="default"/>
    <w:sig w:usb0="E00002FF" w:usb1="400004FF" w:usb2="00000000" w:usb3="00000000" w:csb0="2000019F" w:csb1="00000000"/>
  </w:font>
  <w:font w:name="Calibri">
    <w:panose1 w:val="020F0502020204030204"/>
    <w:charset w:val="00"/>
    <w:family w:val="auto"/>
    <w:pitch w:val="default"/>
    <w:sig w:usb0="E10002FF" w:usb1="4000ACFF" w:usb2="00000009" w:usb3="00000000" w:csb0="2000019F" w:csb1="00000000"/>
  </w:font>
  <w:font w:name="Liberation Serif">
    <w:altName w:val="Times New Roman"/>
    <w:panose1 w:val="00000000000000000000"/>
    <w:charset w:val="01"/>
    <w:family w:val="auto"/>
    <w:pitch w:val="default"/>
    <w:sig w:usb0="00000000" w:usb1="00000000" w:usb2="00000000" w:usb3="00000000" w:csb0="00040001" w:csb1="00000000"/>
  </w:font>
  <w:font w:name="Liberation Sans">
    <w:altName w:val="Arial"/>
    <w:panose1 w:val="00000000000000000000"/>
    <w:charset w:val="01"/>
    <w:family w:val="auto"/>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David">
    <w:panose1 w:val="020E0502060401010101"/>
    <w:charset w:val="00"/>
    <w:family w:val="auto"/>
    <w:pitch w:val="default"/>
    <w:sig w:usb0="00000801" w:usb1="00000000" w:usb2="00000000" w:usb3="00000000" w:csb0="00000020" w:csb1="00200000"/>
  </w:font>
  <w:font w:name="Arabic Typesetting">
    <w:panose1 w:val="03020402040406030203"/>
    <w:charset w:val="00"/>
    <w:family w:val="auto"/>
    <w:pitch w:val="default"/>
    <w:sig w:usb0="A000206F" w:usb1="C0000000" w:usb2="00000008" w:usb3="00000000" w:csb0="200000D3" w:csb1="00000000"/>
  </w:font>
  <w:font w:name="Microsoft YaHei">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tabs>
        <w:tab w:val="right" w:pos="9781"/>
        <w:tab w:val="clear" w:pos="4513"/>
        <w:tab w:val="clear" w:pos="9026"/>
      </w:tabs>
      <w:rPr>
        <w:sz w:val="20"/>
      </w:rPr>
    </w:pPr>
    <w:r>
      <w:rPr>
        <w:sz w:val="20"/>
      </w:rPr>
      <w:t>FLOMEKO 2016, Sydney, Australia, September 26-29, 2016</w:t>
    </w:r>
    <w:r>
      <w:rPr>
        <w:sz w:val="20"/>
      </w:rPr>
      <w:tab/>
    </w:r>
    <w:r>
      <w:rPr>
        <w:sz w:val="20"/>
      </w:rPr>
      <w:t xml:space="preserve"> Page </w:t>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tabs>
        <w:tab w:val="right" w:pos="9781"/>
      </w:tabs>
      <w:rPr>
        <w:sz w:val="20"/>
      </w:rPr>
    </w:pPr>
  </w:p>
  <w:p>
    <w:pPr>
      <w:pStyle w:val="8"/>
      <w:tabs>
        <w:tab w:val="right" w:pos="9781"/>
        <w:tab w:val="clear" w:pos="4513"/>
        <w:tab w:val="clear" w:pos="9026"/>
      </w:tabs>
      <w:rPr>
        <w:sz w:val="20"/>
      </w:rPr>
    </w:pPr>
    <w:r>
      <w:rPr>
        <w:sz w:val="20"/>
      </w:rPr>
      <w:t>FLOMEKO 2016, Sydney, Australia, September 26-29, 2016</w:t>
    </w:r>
    <w:r>
      <w:rPr>
        <w:sz w:val="20"/>
      </w:rPr>
      <w:tab/>
    </w:r>
    <w:r>
      <w:rPr>
        <w:sz w:val="20"/>
      </w:rPr>
      <w:t xml:space="preserve">   Page </w:t>
    </w: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701858372">
    <w:nsid w:val="65704C44"/>
    <w:multiLevelType w:val="multilevel"/>
    <w:tmpl w:val="65704C44"/>
    <w:lvl w:ilvl="0" w:tentative="1">
      <w:start w:val="1"/>
      <w:numFmt w:val="decimal"/>
      <w:lvlText w:val="[%1]"/>
      <w:lvlJc w:val="left"/>
      <w:pPr>
        <w:ind w:left="720" w:hanging="360"/>
      </w:pPr>
      <w:rPr>
        <w:rFonts w:hint="default"/>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num w:numId="1">
    <w:abstractNumId w:val="17018583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720"/>
  <w:displayHorizontalDrawingGridEvery w:val="0"/>
  <w:displayVerticalDrawingGridEvery w:val="0"/>
  <w:doNotUseMarginsForDrawingGridOrigin w:val="1"/>
  <w:drawingGridHorizontalOrigin w:val="0"/>
  <w:drawingGridVerticalOrigin w:val="0"/>
  <w:noPunctuationKerning w:val="1"/>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nhideWhenUsed="0" w:uiPriority="0" w:semiHidden="0" w:name="Balloon Text"/>
  </w:latentStyles>
  <w:style w:type="paragraph" w:default="1" w:styleId="1">
    <w:name w:val="Normal"/>
    <w:qFormat/>
    <w:uiPriority w:val="0"/>
    <w:rPr>
      <w:rFonts w:ascii="Times New Roman" w:hAnsi="Times New Roman" w:eastAsia="Times New Roman" w:cs="Times New Roman"/>
      <w:sz w:val="24"/>
      <w:lang w:val="en-US" w:eastAsia="zh-CN" w:bidi="ar-SA"/>
    </w:rPr>
  </w:style>
  <w:style w:type="paragraph" w:styleId="2">
    <w:name w:val="heading 1"/>
    <w:basedOn w:val="1"/>
    <w:next w:val="1"/>
    <w:qFormat/>
    <w:uiPriority w:val="0"/>
    <w:pPr>
      <w:keepNext/>
      <w:outlineLvl w:val="0"/>
    </w:pPr>
    <w:rPr>
      <w:b/>
      <w:sz w:val="20"/>
    </w:rPr>
  </w:style>
  <w:style w:type="paragraph" w:styleId="3">
    <w:name w:val="heading 2"/>
    <w:basedOn w:val="1"/>
    <w:next w:val="1"/>
    <w:qFormat/>
    <w:uiPriority w:val="0"/>
    <w:pPr>
      <w:keepNext/>
      <w:outlineLvl w:val="1"/>
    </w:pPr>
    <w:rPr>
      <w:i/>
    </w:rPr>
  </w:style>
  <w:style w:type="character" w:default="1" w:styleId="11">
    <w:name w:val="Default Paragraph Font"/>
    <w:semiHidden/>
    <w:unhideWhenUsed/>
    <w:uiPriority w:val="1"/>
  </w:style>
  <w:style w:type="paragraph" w:styleId="4">
    <w:name w:val="Balloon Text"/>
    <w:basedOn w:val="1"/>
    <w:link w:val="20"/>
    <w:uiPriority w:val="0"/>
    <w:rPr>
      <w:rFonts w:ascii="Tahoma" w:hAnsi="Tahoma" w:cs="Tahoma"/>
      <w:sz w:val="16"/>
      <w:szCs w:val="16"/>
    </w:rPr>
  </w:style>
  <w:style w:type="paragraph" w:styleId="5">
    <w:name w:val="Body Text"/>
    <w:basedOn w:val="1"/>
    <w:uiPriority w:val="0"/>
    <w:pPr>
      <w:jc w:val="both"/>
    </w:pPr>
    <w:rPr>
      <w:sz w:val="20"/>
    </w:rPr>
  </w:style>
  <w:style w:type="paragraph" w:styleId="6">
    <w:name w:val="Body Text Indent"/>
    <w:basedOn w:val="1"/>
    <w:uiPriority w:val="0"/>
    <w:pPr>
      <w:ind w:left="360"/>
    </w:pPr>
  </w:style>
  <w:style w:type="paragraph" w:styleId="7">
    <w:name w:val="caption"/>
    <w:basedOn w:val="1"/>
    <w:next w:val="1"/>
    <w:qFormat/>
    <w:uiPriority w:val="0"/>
    <w:pPr>
      <w:spacing w:before="120" w:after="120"/>
      <w:jc w:val="both"/>
    </w:pPr>
    <w:rPr>
      <w:b/>
      <w:sz w:val="16"/>
    </w:rPr>
  </w:style>
  <w:style w:type="paragraph" w:styleId="8">
    <w:name w:val="footer"/>
    <w:basedOn w:val="1"/>
    <w:link w:val="19"/>
    <w:uiPriority w:val="0"/>
    <w:pPr>
      <w:tabs>
        <w:tab w:val="center" w:pos="4513"/>
        <w:tab w:val="right" w:pos="9026"/>
      </w:tabs>
    </w:pPr>
  </w:style>
  <w:style w:type="paragraph" w:styleId="9">
    <w:name w:val="header"/>
    <w:basedOn w:val="1"/>
    <w:link w:val="18"/>
    <w:uiPriority w:val="0"/>
    <w:pPr>
      <w:tabs>
        <w:tab w:val="center" w:pos="4513"/>
        <w:tab w:val="right" w:pos="9026"/>
      </w:tabs>
    </w:pPr>
  </w:style>
  <w:style w:type="paragraph" w:styleId="10">
    <w:name w:val="Title"/>
    <w:basedOn w:val="1"/>
    <w:qFormat/>
    <w:uiPriority w:val="0"/>
    <w:pPr>
      <w:jc w:val="center"/>
    </w:pPr>
    <w:rPr>
      <w:b/>
      <w:sz w:val="36"/>
    </w:rPr>
  </w:style>
  <w:style w:type="character" w:styleId="12">
    <w:name w:val="FollowedHyperlink"/>
    <w:basedOn w:val="11"/>
    <w:uiPriority w:val="0"/>
    <w:rPr>
      <w:color w:val="800080"/>
      <w:u w:val="single"/>
    </w:rPr>
  </w:style>
  <w:style w:type="character" w:styleId="13">
    <w:name w:val="Hyperlink"/>
    <w:basedOn w:val="11"/>
    <w:uiPriority w:val="0"/>
    <w:rPr>
      <w:color w:val="0000FF"/>
      <w:u w:val="single"/>
    </w:rPr>
  </w:style>
  <w:style w:type="paragraph" w:customStyle="1" w:styleId="14">
    <w:name w:val="List Paragraph"/>
    <w:basedOn w:val="1"/>
    <w:qFormat/>
    <w:uiPriority w:val="34"/>
    <w:pPr>
      <w:ind w:left="720"/>
    </w:pPr>
  </w:style>
  <w:style w:type="paragraph" w:customStyle="1" w:styleId="15">
    <w:name w:val="Footer1"/>
    <w:basedOn w:val="1"/>
    <w:qFormat/>
    <w:uiPriority w:val="0"/>
    <w:pPr>
      <w:tabs>
        <w:tab w:val="center" w:pos="4513"/>
        <w:tab w:val="right" w:pos="9026"/>
      </w:tabs>
    </w:pPr>
  </w:style>
  <w:style w:type="paragraph" w:customStyle="1" w:styleId="16">
    <w:name w:val="Text Body"/>
    <w:basedOn w:val="1"/>
    <w:qFormat/>
    <w:uiPriority w:val="0"/>
    <w:pPr>
      <w:pBdr>
        <w:top w:val="none" w:color="000000" w:sz="0" w:space="0"/>
        <w:left w:val="none" w:color="000000" w:sz="0" w:space="0"/>
        <w:bottom w:val="none" w:color="000000" w:sz="0" w:space="0"/>
        <w:right w:val="none" w:color="000000" w:sz="0" w:space="0"/>
        <w:between w:val="none" w:color="000000" w:sz="0" w:space="0"/>
      </w:pBdr>
      <w:shd w:val="clear" w:color="040000" w:fill="auto"/>
      <w:suppressAutoHyphens/>
      <w:spacing w:after="140" w:line="288" w:lineRule="auto"/>
      <w:jc w:val="both"/>
    </w:pPr>
    <w:rPr>
      <w:color w:val="00000A"/>
      <w:sz w:val="20"/>
    </w:rPr>
  </w:style>
  <w:style w:type="paragraph" w:customStyle="1" w:styleId="17">
    <w:name w:val="Text"/>
    <w:basedOn w:val="1"/>
    <w:uiPriority w:val="99"/>
    <w:pPr>
      <w:widowControl/>
      <w:spacing w:before="0" w:after="0"/>
      <w:ind w:firstLine="284"/>
      <w:jc w:val="both"/>
    </w:pPr>
    <w:rPr>
      <w:color w:val="auto"/>
      <w:sz w:val="20"/>
    </w:rPr>
  </w:style>
  <w:style w:type="character" w:customStyle="1" w:styleId="18">
    <w:name w:val="Header Char"/>
    <w:link w:val="9"/>
    <w:uiPriority w:val="0"/>
    <w:rPr>
      <w:sz w:val="24"/>
    </w:rPr>
  </w:style>
  <w:style w:type="character" w:customStyle="1" w:styleId="19">
    <w:name w:val="Footer Char"/>
    <w:link w:val="8"/>
    <w:uiPriority w:val="0"/>
    <w:rPr>
      <w:sz w:val="24"/>
    </w:rPr>
  </w:style>
  <w:style w:type="character" w:customStyle="1" w:styleId="20">
    <w:name w:val="Balloon Text Char"/>
    <w:basedOn w:val="11"/>
    <w:link w:val="4"/>
    <w:uiPriority w:val="0"/>
    <w:rPr>
      <w:rFonts w:ascii="Tahoma" w:hAnsi="Tahoma" w:cs="Tahoma"/>
      <w:sz w:val="16"/>
      <w:szCs w:val="16"/>
    </w:rPr>
  </w:style>
  <w:style w:type="character" w:customStyle="1" w:styleId="21">
    <w:name w:val="Placeholder Text"/>
    <w:basedOn w:val="11"/>
    <w:semiHidden/>
    <w:uiPriority w:val="99"/>
    <w:rPr>
      <w:color w:val="808080"/>
    </w:rPr>
  </w:style>
  <w:style w:type="character" w:customStyle="1" w:styleId="22">
    <w:name w:val="Internet Link"/>
    <w:basedOn w:val="11"/>
    <w:uiPriority w:val="0"/>
    <w:rPr>
      <w:color w:val="0000FF"/>
      <w:u w:val="single" w:color="auto"/>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4.wmf"/><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oleObject" Target="embeddings/oleObject1.bin"/><Relationship Id="rId15" Type="http://schemas.openxmlformats.org/officeDocument/2006/relationships/image" Target="media/image8.wmf"/><Relationship Id="rId16" Type="http://schemas.openxmlformats.org/officeDocument/2006/relationships/oleObject" Target="embeddings/oleObject2.bin"/><Relationship Id="rId17" Type="http://schemas.openxmlformats.org/officeDocument/2006/relationships/image" Target="media/image9.wmf"/><Relationship Id="rId18" Type="http://schemas.openxmlformats.org/officeDocument/2006/relationships/oleObject" Target="embeddings/oleObject3.bin"/><Relationship Id="rId19" Type="http://schemas.openxmlformats.org/officeDocument/2006/relationships/image" Target="media/image10.wmf"/><Relationship Id="rId2" Type="http://schemas.openxmlformats.org/officeDocument/2006/relationships/styles" Target="styles.xml"/><Relationship Id="rId20" Type="http://schemas.openxmlformats.org/officeDocument/2006/relationships/oleObject" Target="embeddings/oleObject4.bin"/><Relationship Id="rId21" Type="http://schemas.openxmlformats.org/officeDocument/2006/relationships/image" Target="media/image11.w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customXml" Target="../customXml/item1.xml"/><Relationship Id="rId29"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theme" Target="theme/theme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MSA2011 template[1].dot</Template>
  <Company>Metrology Society of Australia</Company>
  <Pages>2</Pages>
  <Words>1025</Words>
  <Characters>5843</Characters>
  <Lines>48</Lines>
  <Paragraphs>13</Paragraphs>
  <ScaleCrop>false</ScaleCrop>
  <LinksUpToDate>false</LinksUpToDate>
  <CharactersWithSpaces>0</CharactersWithSpaces>
  <Application>Kingsoft Office_9.1.0.4550_{F1E327BC-269C-435d-A152-05C5408002CA}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2015-11-20T13:52:00Z</dcterms:created>
  <dc:creator>rod.white</dc:creator>
  <cp:lastModifiedBy>vonLava</cp:lastModifiedBy>
  <cp:lastPrinted>2015-08-31T03:45:00Z</cp:lastPrinted>
  <dcterms:modified xsi:type="dcterms:W3CDTF">2016-08-14T12:02:49Z</dcterms:modified>
  <dc:title>MSA Value in Measurement 2004</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y fmtid="{D5CDD505-2E9C-101B-9397-08002B2CF9AE}" pid="5" name="KSOProductBuildVer">
    <vt:lpwstr>1033-9.1.0.4550</vt:lpwstr>
  </property>
</Properties>
</file>